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12"/>
        <w:ind w:firstLine="5670"/>
        <w:rPr/>
      </w:pPr>
      <w:r>
        <w:rPr>
          <w:rFonts w:cs="Times New Roman" w:ascii="Times New Roman" w:hAnsi="Times New Roman"/>
          <w:sz w:val="28"/>
          <w:szCs w:val="28"/>
        </w:rPr>
        <w:t>Приложение</w:t>
      </w:r>
    </w:p>
    <w:p>
      <w:pPr>
        <w:pStyle w:val="Normal"/>
        <w:spacing w:lineRule="auto" w:line="312"/>
        <w:ind w:firstLine="5670"/>
        <w:rPr/>
      </w:pPr>
      <w:r>
        <w:rPr>
          <w:rFonts w:cs="Times New Roman" w:ascii="Times New Roman" w:hAnsi="Times New Roman"/>
          <w:sz w:val="28"/>
          <w:szCs w:val="28"/>
        </w:rPr>
        <w:t>к приказу НИЯУ МИФИ</w:t>
      </w:r>
    </w:p>
    <w:p>
      <w:pPr>
        <w:pStyle w:val="Normal"/>
        <w:ind w:firstLine="5670"/>
        <w:rPr/>
      </w:pPr>
      <w:r>
        <w:rPr>
          <w:rFonts w:cs="Times New Roman" w:ascii="Times New Roman" w:hAnsi="Times New Roman"/>
          <w:sz w:val="28"/>
          <w:szCs w:val="28"/>
        </w:rPr>
        <w:t>от «___» __________2026 г. №______</w:t>
      </w:r>
    </w:p>
    <w:p>
      <w:pPr>
        <w:pStyle w:val="16"/>
        <w:keepNext w:val="true"/>
        <w:keepLines/>
        <w:shd w:val="clear" w:color="auto" w:fill="auto"/>
        <w:spacing w:before="0" w:after="293"/>
        <w:rPr>
          <w:sz w:val="28"/>
          <w:szCs w:val="28"/>
        </w:rPr>
      </w:pPr>
      <w:r>
        <w:rPr>
          <w:sz w:val="28"/>
          <w:szCs w:val="28"/>
        </w:rPr>
      </w:r>
    </w:p>
    <w:p>
      <w:pPr>
        <w:pStyle w:val="16"/>
        <w:keepNext w:val="true"/>
        <w:keepLines/>
        <w:shd w:val="clear" w:color="auto" w:fill="auto"/>
        <w:spacing w:before="0" w:after="293"/>
        <w:rPr/>
      </w:pPr>
      <w:bookmarkStart w:id="0" w:name="bookmark0"/>
      <w:r>
        <w:rPr>
          <w:sz w:val="28"/>
          <w:szCs w:val="28"/>
        </w:rPr>
        <w:t>ПОЛОЖЕНИЕ</w:t>
        <w:br/>
        <w:t xml:space="preserve">о проведении </w:t>
      </w:r>
      <w:bookmarkEnd w:id="0"/>
      <w:r>
        <w:rPr>
          <w:sz w:val="28"/>
          <w:szCs w:val="28"/>
        </w:rPr>
        <w:t>студенческого конкурса научно-фантастических рассказов «МИФИ о Будущем»</w:t>
      </w:r>
    </w:p>
    <w:p>
      <w:pPr>
        <w:pStyle w:val="16"/>
        <w:keepNext w:val="true"/>
        <w:keepLines/>
        <w:numPr>
          <w:ilvl w:val="0"/>
          <w:numId w:val="1"/>
        </w:numPr>
        <w:shd w:val="clear" w:color="auto" w:fill="auto"/>
        <w:tabs>
          <w:tab w:val="clear" w:pos="708"/>
          <w:tab w:val="left" w:pos="1014" w:leader="none"/>
        </w:tabs>
        <w:spacing w:lineRule="exact" w:line="485" w:before="0" w:after="0"/>
        <w:ind w:firstLine="720" w:left="20"/>
        <w:jc w:val="both"/>
        <w:rPr/>
      </w:pPr>
      <w:bookmarkStart w:id="1" w:name="bookmark1"/>
      <w:r>
        <w:rPr>
          <w:sz w:val="28"/>
          <w:szCs w:val="28"/>
        </w:rPr>
        <w:t>Общие положения</w:t>
      </w:r>
      <w:bookmarkEnd w:id="1"/>
    </w:p>
    <w:p>
      <w:pPr>
        <w:pStyle w:val="22"/>
        <w:numPr>
          <w:ilvl w:val="1"/>
          <w:numId w:val="1"/>
        </w:numPr>
        <w:shd w:val="clear" w:color="auto" w:fill="auto"/>
        <w:tabs>
          <w:tab w:val="clear" w:pos="708"/>
          <w:tab w:val="left" w:pos="1255" w:leader="none"/>
        </w:tabs>
        <w:spacing w:lineRule="exact" w:line="485" w:before="0" w:after="0"/>
        <w:ind w:firstLine="720" w:left="20" w:right="60"/>
        <w:jc w:val="both"/>
        <w:rPr>
          <w:sz w:val="28"/>
          <w:szCs w:val="28"/>
        </w:rPr>
      </w:pPr>
      <w:r>
        <w:rPr>
          <w:sz w:val="28"/>
          <w:szCs w:val="28"/>
        </w:rPr>
        <w:t>Настоящее Положение регламентирует порядок организации и условия проведения студенческого конкурса научно-фантастических рассказов                 «МИФИ о Будущем» (далее – Конкурс), определяет круг его участников, требования к конкурсным работам (произведениям), условия и сроки его проведения.</w:t>
      </w:r>
    </w:p>
    <w:p>
      <w:pPr>
        <w:pStyle w:val="22"/>
        <w:numPr>
          <w:ilvl w:val="1"/>
          <w:numId w:val="1"/>
        </w:numPr>
        <w:shd w:val="clear" w:color="auto" w:fill="auto"/>
        <w:tabs>
          <w:tab w:val="clear" w:pos="708"/>
          <w:tab w:val="left" w:pos="1255" w:leader="none"/>
        </w:tabs>
        <w:spacing w:lineRule="exact" w:line="485" w:before="0" w:after="0"/>
        <w:ind w:firstLine="720" w:left="20" w:right="60"/>
        <w:jc w:val="both"/>
        <w:rPr>
          <w:sz w:val="28"/>
          <w:szCs w:val="28"/>
        </w:rPr>
      </w:pPr>
      <w:r>
        <w:rPr>
          <w:sz w:val="28"/>
          <w:szCs w:val="28"/>
        </w:rPr>
        <w:t>Организатором Конкурса является НИЯУ МИФИ (далее – Организатор).</w:t>
      </w:r>
    </w:p>
    <w:p>
      <w:pPr>
        <w:pStyle w:val="22"/>
        <w:numPr>
          <w:ilvl w:val="1"/>
          <w:numId w:val="1"/>
        </w:numPr>
        <w:shd w:val="clear" w:color="auto" w:fill="auto"/>
        <w:tabs>
          <w:tab w:val="clear" w:pos="708"/>
          <w:tab w:val="left" w:pos="1255" w:leader="none"/>
        </w:tabs>
        <w:spacing w:lineRule="exact" w:line="485" w:before="0" w:after="0"/>
        <w:ind w:firstLine="720" w:left="20" w:right="60"/>
        <w:jc w:val="both"/>
        <w:rPr>
          <w:sz w:val="28"/>
          <w:szCs w:val="28"/>
        </w:rPr>
      </w:pPr>
      <w:r>
        <w:rPr>
          <w:sz w:val="28"/>
          <w:szCs w:val="28"/>
        </w:rPr>
        <w:t xml:space="preserve">Положение о Конкурсе публикуется на официальной странице Конкурса на официальном сайте НИЯУ МИФИ. </w:t>
      </w:r>
    </w:p>
    <w:p>
      <w:pPr>
        <w:pStyle w:val="22"/>
        <w:numPr>
          <w:ilvl w:val="1"/>
          <w:numId w:val="1"/>
        </w:numPr>
        <w:shd w:val="clear" w:color="auto" w:fill="auto"/>
        <w:tabs>
          <w:tab w:val="clear" w:pos="708"/>
          <w:tab w:val="left" w:pos="1255" w:leader="none"/>
        </w:tabs>
        <w:spacing w:lineRule="exact" w:line="485" w:before="0" w:after="0"/>
        <w:ind w:firstLine="720" w:left="20"/>
        <w:jc w:val="both"/>
        <w:rPr>
          <w:sz w:val="28"/>
          <w:szCs w:val="28"/>
        </w:rPr>
      </w:pPr>
      <w:r>
        <w:rPr>
          <w:sz w:val="28"/>
          <w:szCs w:val="28"/>
        </w:rPr>
        <w:t>Рабочим языком Конкурса является русский язык.</w:t>
      </w:r>
    </w:p>
    <w:p>
      <w:pPr>
        <w:pStyle w:val="22"/>
        <w:numPr>
          <w:ilvl w:val="1"/>
          <w:numId w:val="1"/>
        </w:numPr>
        <w:shd w:val="clear" w:color="auto" w:fill="auto"/>
        <w:tabs>
          <w:tab w:val="clear" w:pos="708"/>
          <w:tab w:val="left" w:pos="1255" w:leader="none"/>
        </w:tabs>
        <w:spacing w:lineRule="exact" w:line="485" w:before="0" w:after="0"/>
        <w:ind w:firstLine="720" w:left="20" w:right="60"/>
        <w:jc w:val="both"/>
        <w:rPr>
          <w:sz w:val="28"/>
          <w:szCs w:val="28"/>
        </w:rPr>
      </w:pPr>
      <w:r>
        <w:rPr>
          <w:spacing w:val="-2"/>
          <w:sz w:val="28"/>
          <w:szCs w:val="28"/>
        </w:rPr>
        <w:t>Информационная поддержка Конкурса осуществляется через официальную</w:t>
      </w:r>
      <w:r>
        <w:rPr>
          <w:sz w:val="28"/>
          <w:szCs w:val="28"/>
        </w:rPr>
        <w:t xml:space="preserve"> страницу Конкурса на официальном сайте НИЯУ МИФИ.</w:t>
      </w:r>
    </w:p>
    <w:p>
      <w:pPr>
        <w:pStyle w:val="22"/>
        <w:numPr>
          <w:ilvl w:val="1"/>
          <w:numId w:val="1"/>
        </w:numPr>
        <w:shd w:val="clear" w:color="auto" w:fill="auto"/>
        <w:tabs>
          <w:tab w:val="clear" w:pos="708"/>
          <w:tab w:val="left" w:pos="1255" w:leader="none"/>
        </w:tabs>
        <w:spacing w:lineRule="exact" w:line="485" w:before="0" w:after="0"/>
        <w:ind w:firstLine="720" w:left="20"/>
        <w:jc w:val="both"/>
        <w:rPr>
          <w:sz w:val="28"/>
          <w:szCs w:val="28"/>
        </w:rPr>
      </w:pPr>
      <w:r>
        <w:rPr>
          <w:sz w:val="28"/>
          <w:szCs w:val="28"/>
        </w:rPr>
        <w:t>Контактные данные организаторов Конкурса:</w:t>
      </w:r>
    </w:p>
    <w:p>
      <w:pPr>
        <w:pStyle w:val="22"/>
        <w:numPr>
          <w:ilvl w:val="0"/>
          <w:numId w:val="2"/>
        </w:numPr>
        <w:shd w:val="clear" w:color="auto" w:fill="auto"/>
        <w:tabs>
          <w:tab w:val="clear" w:pos="708"/>
          <w:tab w:val="left" w:pos="993" w:leader="none"/>
        </w:tabs>
        <w:spacing w:lineRule="exact" w:line="504" w:before="0" w:after="0"/>
        <w:ind w:firstLine="1256" w:left="20"/>
        <w:jc w:val="both"/>
        <w:rPr>
          <w:color w:val="auto"/>
          <w:sz w:val="28"/>
          <w:szCs w:val="28"/>
        </w:rPr>
      </w:pPr>
      <w:r>
        <w:rPr>
          <w:color w:val="auto"/>
          <w:sz w:val="28"/>
          <w:szCs w:val="28"/>
        </w:rPr>
        <w:t>сайт https://mephi.ru/press/news/26688</w:t>
      </w:r>
      <w:r>
        <w:rPr>
          <w:rStyle w:val="Hyperlink"/>
          <w:color w:val="auto"/>
          <w:sz w:val="28"/>
          <w:szCs w:val="28"/>
          <w:u w:val="none"/>
        </w:rPr>
        <w:t>;</w:t>
      </w:r>
    </w:p>
    <w:p>
      <w:pPr>
        <w:pStyle w:val="22"/>
        <w:numPr>
          <w:ilvl w:val="0"/>
          <w:numId w:val="2"/>
        </w:numPr>
        <w:shd w:val="clear" w:color="auto" w:fill="auto"/>
        <w:tabs>
          <w:tab w:val="clear" w:pos="708"/>
          <w:tab w:val="left" w:pos="993" w:leader="none"/>
        </w:tabs>
        <w:spacing w:lineRule="exact" w:line="504" w:before="0" w:after="0"/>
        <w:ind w:firstLine="1256" w:left="20"/>
        <w:jc w:val="both"/>
        <w:rPr>
          <w:color w:val="auto"/>
          <w:sz w:val="28"/>
          <w:szCs w:val="28"/>
        </w:rPr>
      </w:pPr>
      <w:r>
        <w:rPr>
          <w:color w:val="auto"/>
          <w:sz w:val="28"/>
          <w:szCs w:val="28"/>
        </w:rPr>
        <w:t xml:space="preserve">электронная почта </w:t>
      </w:r>
      <w:hyperlink r:id="rId2">
        <w:r>
          <w:rPr>
            <w:rStyle w:val="Hyperlink"/>
            <w:color w:val="auto"/>
            <w:sz w:val="28"/>
            <w:szCs w:val="28"/>
            <w:u w:val="none"/>
            <w:lang w:val="en-US"/>
          </w:rPr>
          <w:t>ASSimova</w:t>
        </w:r>
        <w:r>
          <w:rPr>
            <w:rStyle w:val="Hyperlink"/>
            <w:color w:val="auto"/>
            <w:sz w:val="28"/>
            <w:szCs w:val="28"/>
            <w:u w:val="none"/>
          </w:rPr>
          <w:t>@</w:t>
        </w:r>
        <w:r>
          <w:rPr>
            <w:rStyle w:val="Hyperlink"/>
            <w:color w:val="auto"/>
            <w:sz w:val="28"/>
            <w:szCs w:val="28"/>
            <w:u w:val="none"/>
            <w:lang w:val="en-US"/>
          </w:rPr>
          <w:t>mephi</w:t>
        </w:r>
        <w:r>
          <w:rPr>
            <w:rStyle w:val="Hyperlink"/>
            <w:color w:val="auto"/>
            <w:sz w:val="28"/>
            <w:szCs w:val="28"/>
            <w:u w:val="none"/>
          </w:rPr>
          <w:t>.</w:t>
        </w:r>
        <w:r>
          <w:rPr>
            <w:rStyle w:val="Hyperlink"/>
            <w:color w:val="auto"/>
            <w:sz w:val="28"/>
            <w:szCs w:val="28"/>
            <w:u w:val="none"/>
            <w:lang w:val="en-US"/>
          </w:rPr>
          <w:t>ru</w:t>
        </w:r>
      </w:hyperlink>
      <w:r>
        <w:rPr>
          <w:color w:val="auto"/>
          <w:sz w:val="28"/>
          <w:szCs w:val="28"/>
        </w:rPr>
        <w:t>;</w:t>
      </w:r>
    </w:p>
    <w:p>
      <w:pPr>
        <w:pStyle w:val="22"/>
        <w:numPr>
          <w:ilvl w:val="0"/>
          <w:numId w:val="2"/>
        </w:numPr>
        <w:shd w:val="clear" w:color="auto" w:fill="auto"/>
        <w:tabs>
          <w:tab w:val="clear" w:pos="708"/>
          <w:tab w:val="left" w:pos="993" w:leader="none"/>
        </w:tabs>
        <w:spacing w:lineRule="exact" w:line="504" w:before="0" w:after="0"/>
        <w:ind w:firstLine="1256" w:left="20"/>
        <w:jc w:val="both"/>
        <w:rPr>
          <w:color w:val="auto"/>
          <w:sz w:val="28"/>
          <w:szCs w:val="28"/>
        </w:rPr>
      </w:pPr>
      <w:r>
        <w:rPr>
          <w:color w:val="auto"/>
          <w:sz w:val="28"/>
          <w:szCs w:val="28"/>
        </w:rPr>
        <w:t xml:space="preserve">телефон </w:t>
      </w:r>
      <w:r>
        <w:rPr>
          <w:color w:val="auto"/>
          <w:sz w:val="28"/>
          <w:szCs w:val="28"/>
          <w:lang w:val="en-US"/>
        </w:rPr>
        <w:t>+7(903)2000207</w:t>
      </w:r>
      <w:r>
        <w:rPr>
          <w:color w:val="auto"/>
          <w:sz w:val="28"/>
          <w:szCs w:val="28"/>
        </w:rPr>
        <w:t>.</w:t>
      </w:r>
    </w:p>
    <w:p>
      <w:pPr>
        <w:pStyle w:val="16"/>
        <w:keepNext w:val="true"/>
        <w:keepLines/>
        <w:numPr>
          <w:ilvl w:val="0"/>
          <w:numId w:val="1"/>
        </w:numPr>
        <w:shd w:val="clear" w:color="auto" w:fill="auto"/>
        <w:tabs>
          <w:tab w:val="clear" w:pos="708"/>
          <w:tab w:val="left" w:pos="1023" w:leader="none"/>
        </w:tabs>
        <w:spacing w:lineRule="exact" w:line="485" w:before="0" w:after="0"/>
        <w:ind w:firstLine="720" w:left="20"/>
        <w:jc w:val="both"/>
        <w:rPr>
          <w:sz w:val="28"/>
          <w:szCs w:val="28"/>
        </w:rPr>
      </w:pPr>
      <w:bookmarkStart w:id="2" w:name="bookmark2"/>
      <w:r>
        <w:rPr>
          <w:sz w:val="28"/>
          <w:szCs w:val="28"/>
        </w:rPr>
        <w:t>Цели проведения Конкурса</w:t>
      </w:r>
      <w:bookmarkEnd w:id="2"/>
    </w:p>
    <w:p>
      <w:pPr>
        <w:pStyle w:val="22"/>
        <w:widowControl/>
        <w:numPr>
          <w:ilvl w:val="1"/>
          <w:numId w:val="1"/>
        </w:numPr>
        <w:tabs>
          <w:tab w:val="clear" w:pos="708"/>
          <w:tab w:val="left" w:pos="1222" w:leader="none"/>
        </w:tabs>
        <w:spacing w:lineRule="exact" w:line="485" w:before="0" w:after="0"/>
        <w:ind w:firstLine="720" w:left="20" w:right="20"/>
        <w:jc w:val="both"/>
        <w:rPr>
          <w:color w:val="auto"/>
          <w:sz w:val="28"/>
          <w:szCs w:val="28"/>
        </w:rPr>
      </w:pPr>
      <w:r>
        <w:rPr>
          <w:sz w:val="28"/>
          <w:szCs w:val="28"/>
        </w:rPr>
        <w:t>Создание и популяризация созидательной позиции России в мировом сообществе в перспективе 2050 года, а также транслирование через художественную литературную форму сценариев долгосрочного внутреннего развития России по ключевым направлениям (демография, экология и климат, энергетика, технологии, космос, здравоохранение, продовольствие, социокультура, экономика) в соответствии с тематическими докладами проекта «Горизонт 2040».</w:t>
      </w:r>
    </w:p>
    <w:p>
      <w:pPr>
        <w:pStyle w:val="22"/>
        <w:numPr>
          <w:ilvl w:val="1"/>
          <w:numId w:val="1"/>
        </w:numPr>
        <w:tabs>
          <w:tab w:val="clear" w:pos="708"/>
          <w:tab w:val="left" w:pos="1222" w:leader="none"/>
        </w:tabs>
        <w:spacing w:lineRule="exact" w:line="485" w:before="0" w:after="0"/>
        <w:ind w:firstLine="720" w:left="20" w:right="20"/>
        <w:jc w:val="both"/>
        <w:rPr>
          <w:sz w:val="28"/>
          <w:szCs w:val="28"/>
        </w:rPr>
      </w:pPr>
      <w:r>
        <w:rPr>
          <w:color w:val="auto"/>
          <w:sz w:val="28"/>
          <w:szCs w:val="28"/>
        </w:rPr>
        <w:t>Выявление и поддержка талантливых авторов, студентов</w:t>
      </w:r>
      <w:r>
        <w:rPr>
          <w:sz w:val="28"/>
          <w:szCs w:val="28"/>
        </w:rPr>
        <w:t xml:space="preserve"> НИЯУ МИФИ, работающих в жанре научной фантастики.</w:t>
      </w:r>
    </w:p>
    <w:p>
      <w:pPr>
        <w:pStyle w:val="22"/>
        <w:numPr>
          <w:ilvl w:val="1"/>
          <w:numId w:val="1"/>
        </w:numPr>
        <w:shd w:val="clear" w:color="auto" w:fill="auto"/>
        <w:tabs>
          <w:tab w:val="clear" w:pos="708"/>
          <w:tab w:val="left" w:pos="1222" w:leader="none"/>
        </w:tabs>
        <w:spacing w:lineRule="exact" w:line="485" w:before="0" w:after="0"/>
        <w:ind w:firstLine="720" w:left="20" w:right="20"/>
        <w:jc w:val="both"/>
        <w:rPr>
          <w:sz w:val="28"/>
          <w:szCs w:val="28"/>
        </w:rPr>
      </w:pPr>
      <w:r>
        <w:rPr>
          <w:sz w:val="28"/>
          <w:szCs w:val="28"/>
        </w:rPr>
        <w:t>Поощрение авторов произведений, способных внести значимый вклад                 в популяризацию позитивного образа НИЯУ МИФИ.</w:t>
      </w:r>
    </w:p>
    <w:p>
      <w:pPr>
        <w:pStyle w:val="22"/>
        <w:numPr>
          <w:ilvl w:val="1"/>
          <w:numId w:val="1"/>
        </w:numPr>
        <w:shd w:val="clear" w:color="auto" w:fill="auto"/>
        <w:tabs>
          <w:tab w:val="clear" w:pos="708"/>
          <w:tab w:val="left" w:pos="1222" w:leader="none"/>
        </w:tabs>
        <w:spacing w:lineRule="exact" w:line="485" w:before="0" w:after="0"/>
        <w:ind w:firstLine="720" w:left="20" w:right="20"/>
        <w:jc w:val="both"/>
        <w:rPr>
          <w:sz w:val="28"/>
          <w:szCs w:val="28"/>
        </w:rPr>
      </w:pPr>
      <w:r>
        <w:rPr>
          <w:sz w:val="28"/>
          <w:szCs w:val="28"/>
        </w:rPr>
        <w:t>Возрождение интереса аудитории к жанру научной фантастики.</w:t>
      </w:r>
    </w:p>
    <w:p>
      <w:pPr>
        <w:pStyle w:val="16"/>
        <w:keepNext w:val="true"/>
        <w:keepLines/>
        <w:numPr>
          <w:ilvl w:val="0"/>
          <w:numId w:val="1"/>
        </w:numPr>
        <w:shd w:val="clear" w:color="auto" w:fill="auto"/>
        <w:tabs>
          <w:tab w:val="clear" w:pos="708"/>
          <w:tab w:val="left" w:pos="1023" w:leader="none"/>
        </w:tabs>
        <w:spacing w:lineRule="exact" w:line="485" w:before="0" w:after="0"/>
        <w:ind w:firstLine="720" w:left="20"/>
        <w:jc w:val="both"/>
        <w:rPr>
          <w:sz w:val="28"/>
          <w:szCs w:val="28"/>
        </w:rPr>
      </w:pPr>
      <w:r>
        <w:rPr>
          <w:sz w:val="28"/>
          <w:szCs w:val="28"/>
        </w:rPr>
        <w:t>Т</w:t>
      </w:r>
      <w:bookmarkStart w:id="3" w:name="bookmark3"/>
      <w:r>
        <w:rPr>
          <w:sz w:val="28"/>
          <w:szCs w:val="28"/>
        </w:rPr>
        <w:t>ематика конкурсных работ (произведений)</w:t>
      </w:r>
      <w:bookmarkEnd w:id="3"/>
    </w:p>
    <w:p>
      <w:pPr>
        <w:pStyle w:val="22"/>
        <w:shd w:val="clear" w:color="auto" w:fill="auto"/>
        <w:spacing w:lineRule="exact" w:line="485" w:before="0" w:after="0"/>
        <w:ind w:firstLine="720" w:left="20" w:right="20"/>
        <w:jc w:val="both"/>
        <w:rPr>
          <w:sz w:val="28"/>
          <w:szCs w:val="28"/>
        </w:rPr>
      </w:pPr>
      <w:r>
        <w:rPr>
          <w:sz w:val="28"/>
          <w:szCs w:val="28"/>
        </w:rPr>
        <w:t xml:space="preserve">Тематика конкурсных работ (произведений), выполненных в жанрах научной фантастики и фэнтези, должна быть связана со сценариями долгосрочного развития России в общемировом контексте по ключевым направлениям: экология и климат, энергетика, технологии и космос. Также конкурсные работы (произведения) могут быть посвящены теме человека и общества Будущего во всей совокупности его нравственных, психологических, физиологических, интеллектуальных и иных характеристик.  </w:t>
      </w:r>
      <w:bookmarkStart w:id="4" w:name="bookmark4"/>
    </w:p>
    <w:p>
      <w:pPr>
        <w:pStyle w:val="22"/>
        <w:shd w:val="clear" w:color="auto" w:fill="auto"/>
        <w:spacing w:lineRule="exact" w:line="485" w:before="0" w:after="0"/>
        <w:ind w:firstLine="720" w:left="20" w:right="20"/>
        <w:jc w:val="both"/>
        <w:rPr>
          <w:sz w:val="28"/>
          <w:szCs w:val="28"/>
        </w:rPr>
      </w:pPr>
      <w:r>
        <w:rPr>
          <w:sz w:val="28"/>
          <w:szCs w:val="28"/>
        </w:rPr>
        <w:t>Условия участия в Конкурсе</w:t>
      </w:r>
      <w:bookmarkEnd w:id="4"/>
    </w:p>
    <w:p>
      <w:pPr>
        <w:pStyle w:val="22"/>
        <w:numPr>
          <w:ilvl w:val="1"/>
          <w:numId w:val="1"/>
        </w:numPr>
        <w:shd w:val="clear" w:color="auto" w:fill="auto"/>
        <w:tabs>
          <w:tab w:val="clear" w:pos="708"/>
          <w:tab w:val="left" w:pos="1222" w:leader="none"/>
        </w:tabs>
        <w:spacing w:lineRule="exact" w:line="485" w:before="0" w:after="0"/>
        <w:ind w:firstLine="700" w:left="20" w:right="20"/>
        <w:jc w:val="both"/>
        <w:rPr>
          <w:sz w:val="28"/>
          <w:szCs w:val="28"/>
        </w:rPr>
      </w:pPr>
      <w:r>
        <w:rPr>
          <w:sz w:val="28"/>
          <w:szCs w:val="28"/>
        </w:rPr>
        <w:t>К участию в Конкурсе принимаются произведения авторов, студентов любой формы обучения, преподавателей и сотрудников НИЯУ МИФИ.</w:t>
      </w:r>
    </w:p>
    <w:p>
      <w:pPr>
        <w:pStyle w:val="22"/>
        <w:numPr>
          <w:ilvl w:val="1"/>
          <w:numId w:val="1"/>
        </w:numPr>
        <w:shd w:val="clear" w:color="auto" w:fill="auto"/>
        <w:tabs>
          <w:tab w:val="clear" w:pos="708"/>
          <w:tab w:val="left" w:pos="1254" w:leader="none"/>
        </w:tabs>
        <w:spacing w:lineRule="exact" w:line="485" w:before="0" w:after="0"/>
        <w:ind w:firstLine="720" w:left="40" w:right="20"/>
        <w:jc w:val="both"/>
        <w:rPr>
          <w:sz w:val="28"/>
          <w:szCs w:val="28"/>
        </w:rPr>
      </w:pPr>
      <w:r>
        <w:rPr>
          <w:sz w:val="28"/>
          <w:szCs w:val="28"/>
        </w:rPr>
        <w:t>Конкурсные работы (произведения), представленные на Конкурс,                 не должны быть ранее опубликованными.</w:t>
      </w:r>
    </w:p>
    <w:p>
      <w:pPr>
        <w:pStyle w:val="22"/>
        <w:numPr>
          <w:ilvl w:val="1"/>
          <w:numId w:val="1"/>
        </w:numPr>
        <w:shd w:val="clear" w:color="auto" w:fill="auto"/>
        <w:tabs>
          <w:tab w:val="clear" w:pos="708"/>
          <w:tab w:val="left" w:pos="1254" w:leader="none"/>
        </w:tabs>
        <w:spacing w:lineRule="exact" w:line="485" w:before="0" w:after="0"/>
        <w:ind w:firstLine="720" w:left="40" w:right="20"/>
        <w:jc w:val="both"/>
        <w:rPr>
          <w:sz w:val="28"/>
          <w:szCs w:val="28"/>
        </w:rPr>
      </w:pPr>
      <w:r>
        <w:rPr>
          <w:sz w:val="28"/>
          <w:szCs w:val="28"/>
        </w:rPr>
        <w:t>Присылая свои произведения, авторы гарантируют, что все авторские права на эти произведения принадлежат именно им, а также то, что исключительные права на эти произведения не переданы третьим лицам. Направляя произведение    для участия в Конкурсе, автор тем самым принимает на себя обязательства самостоятельно разрешать претензии третьих лиц в отношении авторских или иных прав на предоставленное для участия в Конкурсе произведение. Организаторы Конкурса не несут ответственности за нарушения авторских или иных прав на конкурсные работы (произведения), возникшие по вине участников Конкурса.</w:t>
      </w:r>
    </w:p>
    <w:p>
      <w:pPr>
        <w:pStyle w:val="22"/>
        <w:numPr>
          <w:ilvl w:val="1"/>
          <w:numId w:val="1"/>
        </w:numPr>
        <w:shd w:val="clear" w:color="auto" w:fill="auto"/>
        <w:tabs>
          <w:tab w:val="clear" w:pos="708"/>
          <w:tab w:val="left" w:pos="1254" w:leader="none"/>
        </w:tabs>
        <w:spacing w:lineRule="exact" w:line="485" w:before="0" w:after="0"/>
        <w:ind w:firstLine="720" w:left="40" w:right="20"/>
        <w:jc w:val="both"/>
        <w:rPr>
          <w:sz w:val="28"/>
          <w:szCs w:val="28"/>
        </w:rPr>
      </w:pPr>
      <w:r>
        <w:rPr>
          <w:sz w:val="28"/>
          <w:szCs w:val="28"/>
        </w:rPr>
        <w:t>До Конкурса не допускаются произведения, содержащие призывы                            к насилию, порнографические изображения и тексты или сцены сексуального характера с участием несовершеннолетних; содержащие сцены бесчеловечного обращения с животными; содержащие описание средств и способов суицида, любое подстрекательство к его совершению; пропагандирующие и/или способствующие разжиганию расовой, религиозной, этнической и иной ненависти или вражды, пропагандирующие фашизм или идеологию расового превосходства; содержащие экстремистские материалы; пропагандирующие преступную деятельность                         или содержащие советы, инструкции или руководства по совершению преступных действий; содержащие рекламу или описывающие привлекательность употребления наркотических веществ, информацию о распространении наркотиков, рецепты                      их изготовления и советы по употреблению; задевающие честь и достоинство                      или нарушающие права граждан Российской Федерации и иных лиц,                                              а также противоречащие законодательству Российской Федерации.</w:t>
      </w:r>
    </w:p>
    <w:p>
      <w:pPr>
        <w:pStyle w:val="22"/>
        <w:numPr>
          <w:ilvl w:val="1"/>
          <w:numId w:val="1"/>
        </w:numPr>
        <w:shd w:val="clear" w:color="auto" w:fill="auto"/>
        <w:tabs>
          <w:tab w:val="clear" w:pos="708"/>
          <w:tab w:val="left" w:pos="1223" w:leader="none"/>
        </w:tabs>
        <w:spacing w:lineRule="exact" w:line="485" w:before="0" w:after="0"/>
        <w:ind w:firstLine="720" w:left="20" w:right="20"/>
        <w:jc w:val="both"/>
        <w:rPr>
          <w:sz w:val="28"/>
          <w:szCs w:val="28"/>
        </w:rPr>
      </w:pPr>
      <w:r>
        <w:rPr>
          <w:sz w:val="28"/>
          <w:szCs w:val="28"/>
        </w:rPr>
        <w:t>Направляя заявку, участник соглашается с тем, что в случае нарушения условий, изложенных в разделе 4 настоящего Положения, его участие в Конкурсе автоматически прекращается.</w:t>
      </w:r>
    </w:p>
    <w:p>
      <w:pPr>
        <w:pStyle w:val="22"/>
        <w:numPr>
          <w:ilvl w:val="1"/>
          <w:numId w:val="1"/>
        </w:numPr>
        <w:shd w:val="clear" w:color="auto" w:fill="auto"/>
        <w:tabs>
          <w:tab w:val="clear" w:pos="708"/>
          <w:tab w:val="left" w:pos="1223" w:leader="none"/>
        </w:tabs>
        <w:spacing w:lineRule="exact" w:line="485" w:before="0" w:after="0"/>
        <w:ind w:firstLine="720" w:left="20"/>
        <w:jc w:val="both"/>
        <w:rPr>
          <w:sz w:val="28"/>
          <w:szCs w:val="28"/>
        </w:rPr>
      </w:pPr>
      <w:r>
        <w:rPr>
          <w:sz w:val="28"/>
          <w:szCs w:val="28"/>
        </w:rPr>
        <w:t>Участие в Конкурсе бесплатное.</w:t>
      </w:r>
    </w:p>
    <w:p>
      <w:pPr>
        <w:pStyle w:val="16"/>
        <w:keepNext w:val="true"/>
        <w:keepLines/>
        <w:numPr>
          <w:ilvl w:val="0"/>
          <w:numId w:val="1"/>
        </w:numPr>
        <w:shd w:val="clear" w:color="auto" w:fill="auto"/>
        <w:tabs>
          <w:tab w:val="clear" w:pos="708"/>
          <w:tab w:val="left" w:pos="998" w:leader="none"/>
        </w:tabs>
        <w:spacing w:lineRule="exact" w:line="485" w:before="0" w:after="0"/>
        <w:ind w:firstLine="700" w:left="20"/>
        <w:jc w:val="both"/>
        <w:rPr>
          <w:sz w:val="28"/>
          <w:szCs w:val="28"/>
        </w:rPr>
      </w:pPr>
      <w:r>
        <w:rPr>
          <w:sz w:val="28"/>
          <w:szCs w:val="28"/>
        </w:rPr>
        <w:t>Этапы и сроки проведения Конкурса</w:t>
      </w:r>
    </w:p>
    <w:tbl>
      <w:tblPr>
        <w:tblW w:w="5000" w:type="pct"/>
        <w:jc w:val="center"/>
        <w:tblInd w:w="0" w:type="dxa"/>
        <w:tblLayout w:type="fixed"/>
        <w:tblCellMar>
          <w:top w:w="0" w:type="dxa"/>
          <w:left w:w="10" w:type="dxa"/>
          <w:bottom w:w="0" w:type="dxa"/>
          <w:right w:w="10" w:type="dxa"/>
        </w:tblCellMar>
        <w:tblLook w:val="04a0" w:noHBand="0" w:noVBand="1" w:firstColumn="1" w:lastRow="0" w:lastColumn="0" w:firstRow="1"/>
      </w:tblPr>
      <w:tblGrid>
        <w:gridCol w:w="6781"/>
        <w:gridCol w:w="3423"/>
      </w:tblGrid>
      <w:tr>
        <w:trPr>
          <w:trHeight w:val="500" w:hRule="exact"/>
        </w:trPr>
        <w:tc>
          <w:tcPr>
            <w:tcW w:w="6781" w:type="dxa"/>
            <w:tcBorders>
              <w:top w:val="single" w:sz="4" w:space="0" w:color="000000"/>
              <w:left w:val="single" w:sz="4" w:space="0" w:color="000000"/>
            </w:tcBorders>
            <w:shd w:color="auto" w:fill="FFFFFF" w:val="clear"/>
            <w:vAlign w:val="center"/>
          </w:tcPr>
          <w:p>
            <w:pPr>
              <w:pStyle w:val="22"/>
              <w:shd w:val="clear" w:color="auto" w:fill="auto"/>
              <w:spacing w:lineRule="exact" w:line="270" w:before="0" w:after="0"/>
              <w:rPr>
                <w:sz w:val="28"/>
                <w:szCs w:val="28"/>
              </w:rPr>
            </w:pPr>
            <w:r>
              <w:rPr>
                <w:rStyle w:val="135pt"/>
                <w:sz w:val="28"/>
                <w:szCs w:val="28"/>
              </w:rPr>
              <w:t>Этап Конкурса</w:t>
            </w:r>
          </w:p>
        </w:tc>
        <w:tc>
          <w:tcPr>
            <w:tcW w:w="3423" w:type="dxa"/>
            <w:tcBorders>
              <w:top w:val="single" w:sz="4" w:space="0" w:color="000000"/>
              <w:left w:val="single" w:sz="4" w:space="0" w:color="000000"/>
              <w:right w:val="single" w:sz="4" w:space="0" w:color="000000"/>
            </w:tcBorders>
            <w:shd w:color="auto" w:fill="FFFFFF" w:val="clear"/>
            <w:vAlign w:val="center"/>
          </w:tcPr>
          <w:p>
            <w:pPr>
              <w:pStyle w:val="22"/>
              <w:shd w:val="clear" w:color="auto" w:fill="auto"/>
              <w:spacing w:lineRule="exact" w:line="270" w:before="0" w:after="0"/>
              <w:jc w:val="center"/>
              <w:rPr>
                <w:sz w:val="28"/>
                <w:szCs w:val="28"/>
              </w:rPr>
            </w:pPr>
            <w:r>
              <w:rPr>
                <w:rStyle w:val="135pt"/>
                <w:sz w:val="28"/>
                <w:szCs w:val="28"/>
              </w:rPr>
              <w:t>Сроки реализации</w:t>
            </w:r>
          </w:p>
        </w:tc>
      </w:tr>
      <w:tr>
        <w:trPr>
          <w:trHeight w:val="20" w:hRule="atLeast"/>
        </w:trPr>
        <w:tc>
          <w:tcPr>
            <w:tcW w:w="6781" w:type="dxa"/>
            <w:tcBorders>
              <w:top w:val="single" w:sz="4" w:space="0" w:color="000000"/>
              <w:left w:val="single" w:sz="4" w:space="0" w:color="000000"/>
              <w:bottom w:val="single" w:sz="4" w:space="0" w:color="000000"/>
            </w:tcBorders>
            <w:shd w:color="auto" w:fill="FFFFFF" w:val="clear"/>
            <w:tcMar>
              <w:top w:w="55" w:type="dxa"/>
              <w:left w:w="55" w:type="dxa"/>
              <w:bottom w:w="55" w:type="dxa"/>
              <w:right w:w="55" w:type="dxa"/>
            </w:tcMar>
          </w:tcPr>
          <w:p>
            <w:pPr>
              <w:pStyle w:val="Normal"/>
              <w:rPr>
                <w:rStyle w:val="11"/>
                <w:rFonts w:eastAsia="Courier New"/>
                <w:sz w:val="28"/>
                <w:szCs w:val="28"/>
              </w:rPr>
            </w:pPr>
            <w:r>
              <w:rPr>
                <w:rStyle w:val="11"/>
                <w:rFonts w:eastAsia="Courier New"/>
                <w:sz w:val="28"/>
                <w:szCs w:val="28"/>
              </w:rPr>
              <w:t>Прием конкурсных работ</w:t>
            </w:r>
          </w:p>
        </w:tc>
        <w:tc>
          <w:tcPr>
            <w:tcW w:w="3423" w:type="dxa"/>
            <w:tcBorders>
              <w:top w:val="single" w:sz="4" w:space="0" w:color="000000"/>
              <w:left w:val="single" w:sz="4" w:space="0" w:color="000000"/>
              <w:bottom w:val="single" w:sz="4" w:space="0" w:color="000000"/>
              <w:right w:val="single" w:sz="4" w:space="0" w:color="000000"/>
            </w:tcBorders>
            <w:shd w:color="auto" w:fill="FFFFFF" w:val="clear"/>
            <w:tcMar>
              <w:top w:w="55" w:type="dxa"/>
              <w:left w:w="55" w:type="dxa"/>
              <w:bottom w:w="55" w:type="dxa"/>
              <w:right w:w="55" w:type="dxa"/>
            </w:tcMar>
          </w:tcPr>
          <w:p>
            <w:pPr>
              <w:pStyle w:val="Normal"/>
              <w:jc w:val="center"/>
              <w:rPr>
                <w:rStyle w:val="11"/>
                <w:rFonts w:eastAsia="Courier New"/>
                <w:sz w:val="28"/>
                <w:szCs w:val="28"/>
              </w:rPr>
            </w:pPr>
            <w:r>
              <w:rPr>
                <w:rStyle w:val="11"/>
                <w:rFonts w:eastAsia="Courier New"/>
                <w:sz w:val="28"/>
                <w:szCs w:val="28"/>
              </w:rPr>
              <w:t>19.10.2026 — 7.02.2027</w:t>
            </w:r>
          </w:p>
        </w:tc>
      </w:tr>
      <w:tr>
        <w:trPr>
          <w:trHeight w:val="20" w:hRule="atLeast"/>
        </w:trPr>
        <w:tc>
          <w:tcPr>
            <w:tcW w:w="6781" w:type="dxa"/>
            <w:tcBorders>
              <w:top w:val="single" w:sz="4" w:space="0" w:color="000000"/>
              <w:left w:val="single" w:sz="4" w:space="0" w:color="000000"/>
              <w:bottom w:val="single" w:sz="4" w:space="0" w:color="000000"/>
            </w:tcBorders>
            <w:shd w:color="auto" w:fill="FFFFFF" w:val="clear"/>
            <w:tcMar>
              <w:top w:w="55" w:type="dxa"/>
              <w:left w:w="55" w:type="dxa"/>
              <w:bottom w:w="55" w:type="dxa"/>
              <w:right w:w="55" w:type="dxa"/>
            </w:tcMar>
          </w:tcPr>
          <w:p>
            <w:pPr>
              <w:pStyle w:val="Normal"/>
              <w:rPr>
                <w:rFonts w:ascii="Times New Roman" w:hAnsi="Times New Roman" w:cs="Times New Roman"/>
                <w:sz w:val="28"/>
                <w:szCs w:val="28"/>
              </w:rPr>
            </w:pPr>
            <w:r>
              <w:rPr>
                <w:rStyle w:val="11"/>
                <w:rFonts w:eastAsia="Courier New"/>
                <w:sz w:val="28"/>
                <w:szCs w:val="28"/>
              </w:rPr>
              <w:t>Отборочный этап – голосование жюри</w:t>
            </w:r>
          </w:p>
        </w:tc>
        <w:tc>
          <w:tcPr>
            <w:tcW w:w="3423" w:type="dxa"/>
            <w:tcBorders>
              <w:top w:val="single" w:sz="4" w:space="0" w:color="000000"/>
              <w:left w:val="single" w:sz="4" w:space="0" w:color="000000"/>
              <w:bottom w:val="single" w:sz="4" w:space="0" w:color="000000"/>
              <w:right w:val="single" w:sz="4" w:space="0" w:color="000000"/>
            </w:tcBorders>
            <w:shd w:color="auto" w:fill="FFFFFF" w:val="clear"/>
            <w:tcMar>
              <w:top w:w="55" w:type="dxa"/>
              <w:left w:w="55" w:type="dxa"/>
              <w:bottom w:w="55" w:type="dxa"/>
              <w:right w:w="55" w:type="dxa"/>
            </w:tcMar>
          </w:tcPr>
          <w:p>
            <w:pPr>
              <w:pStyle w:val="Normal"/>
              <w:jc w:val="center"/>
              <w:rPr>
                <w:rFonts w:ascii="Times New Roman" w:hAnsi="Times New Roman" w:cs="Times New Roman"/>
                <w:sz w:val="28"/>
                <w:szCs w:val="28"/>
              </w:rPr>
            </w:pPr>
            <w:r>
              <w:rPr>
                <w:rFonts w:cs="Times New Roman" w:ascii="Times New Roman" w:hAnsi="Times New Roman"/>
                <w:sz w:val="28"/>
                <w:szCs w:val="28"/>
              </w:rPr>
              <w:t xml:space="preserve">8.02.2027 </w:t>
            </w:r>
            <w:r>
              <w:rPr>
                <w:rStyle w:val="11"/>
                <w:rFonts w:eastAsia="Courier New"/>
                <w:sz w:val="28"/>
                <w:szCs w:val="28"/>
              </w:rPr>
              <w:t>— 24.02.2027</w:t>
            </w:r>
          </w:p>
        </w:tc>
      </w:tr>
      <w:tr>
        <w:trPr>
          <w:trHeight w:val="20" w:hRule="atLeast"/>
        </w:trPr>
        <w:tc>
          <w:tcPr>
            <w:tcW w:w="6781" w:type="dxa"/>
            <w:tcBorders>
              <w:left w:val="single" w:sz="4" w:space="0" w:color="000000"/>
              <w:bottom w:val="single" w:sz="4" w:space="0" w:color="000000"/>
            </w:tcBorders>
            <w:shd w:color="auto" w:fill="FFFFFF" w:val="clear"/>
            <w:tcMar>
              <w:top w:w="55" w:type="dxa"/>
              <w:left w:w="55" w:type="dxa"/>
              <w:bottom w:w="55" w:type="dxa"/>
              <w:right w:w="55" w:type="dxa"/>
            </w:tcMar>
          </w:tcPr>
          <w:p>
            <w:pPr>
              <w:pStyle w:val="Normal"/>
              <w:rPr>
                <w:rFonts w:ascii="Times New Roman" w:hAnsi="Times New Roman" w:cs="Times New Roman"/>
                <w:sz w:val="28"/>
                <w:szCs w:val="28"/>
              </w:rPr>
            </w:pPr>
            <w:r>
              <w:rPr>
                <w:rStyle w:val="11"/>
                <w:rFonts w:eastAsia="Courier New"/>
                <w:sz w:val="28"/>
                <w:szCs w:val="28"/>
              </w:rPr>
              <w:t>Подсчет результатов</w:t>
            </w:r>
          </w:p>
        </w:tc>
        <w:tc>
          <w:tcPr>
            <w:tcW w:w="3423" w:type="dxa"/>
            <w:tcBorders>
              <w:left w:val="single" w:sz="4" w:space="0" w:color="000000"/>
              <w:bottom w:val="single" w:sz="4" w:space="0" w:color="000000"/>
              <w:right w:val="single" w:sz="4" w:space="0" w:color="000000"/>
            </w:tcBorders>
            <w:shd w:color="auto" w:fill="FFFFFF" w:val="clear"/>
            <w:tcMar>
              <w:top w:w="55" w:type="dxa"/>
              <w:left w:w="55" w:type="dxa"/>
              <w:bottom w:w="55" w:type="dxa"/>
              <w:right w:w="55" w:type="dxa"/>
            </w:tcMar>
          </w:tcPr>
          <w:p>
            <w:pPr>
              <w:pStyle w:val="Normal"/>
              <w:jc w:val="center"/>
              <w:rPr>
                <w:rFonts w:ascii="Times New Roman" w:hAnsi="Times New Roman" w:cs="Times New Roman"/>
                <w:sz w:val="28"/>
                <w:szCs w:val="28"/>
              </w:rPr>
            </w:pPr>
            <w:r>
              <w:rPr>
                <w:rFonts w:cs="Times New Roman" w:ascii="Times New Roman" w:hAnsi="Times New Roman"/>
                <w:sz w:val="28"/>
                <w:szCs w:val="28"/>
              </w:rPr>
              <w:t xml:space="preserve">25.02.2027 </w:t>
            </w:r>
            <w:r>
              <w:rPr>
                <w:rStyle w:val="11"/>
                <w:rFonts w:eastAsia="Courier New"/>
                <w:sz w:val="28"/>
                <w:szCs w:val="28"/>
              </w:rPr>
              <w:t>— 5.03.2027</w:t>
            </w:r>
          </w:p>
        </w:tc>
      </w:tr>
      <w:tr>
        <w:trPr>
          <w:trHeight w:val="20" w:hRule="atLeast"/>
        </w:trPr>
        <w:tc>
          <w:tcPr>
            <w:tcW w:w="6781" w:type="dxa"/>
            <w:tcBorders>
              <w:left w:val="single" w:sz="4" w:space="0" w:color="000000"/>
              <w:bottom w:val="single" w:sz="4" w:space="0" w:color="000000"/>
            </w:tcBorders>
            <w:shd w:color="auto" w:fill="FFFFFF" w:val="clear"/>
            <w:tcMar>
              <w:top w:w="55" w:type="dxa"/>
              <w:left w:w="55" w:type="dxa"/>
              <w:bottom w:w="55" w:type="dxa"/>
              <w:right w:w="55" w:type="dxa"/>
            </w:tcMar>
          </w:tcPr>
          <w:p>
            <w:pPr>
              <w:pStyle w:val="Normal"/>
              <w:rPr>
                <w:rFonts w:ascii="Times New Roman" w:hAnsi="Times New Roman" w:cs="Times New Roman"/>
                <w:sz w:val="28"/>
                <w:szCs w:val="28"/>
              </w:rPr>
            </w:pPr>
            <w:r>
              <w:rPr>
                <w:rStyle w:val="11"/>
                <w:rFonts w:eastAsia="Courier New"/>
                <w:sz w:val="28"/>
                <w:szCs w:val="28"/>
              </w:rPr>
              <w:t>Голосование жюри</w:t>
            </w:r>
          </w:p>
        </w:tc>
        <w:tc>
          <w:tcPr>
            <w:tcW w:w="3423" w:type="dxa"/>
            <w:tcBorders>
              <w:left w:val="single" w:sz="4" w:space="0" w:color="000000"/>
              <w:bottom w:val="single" w:sz="4" w:space="0" w:color="000000"/>
              <w:right w:val="single" w:sz="4" w:space="0" w:color="000000"/>
            </w:tcBorders>
            <w:shd w:color="auto" w:fill="FFFFFF" w:val="clear"/>
            <w:tcMar>
              <w:top w:w="55" w:type="dxa"/>
              <w:left w:w="55" w:type="dxa"/>
              <w:bottom w:w="55" w:type="dxa"/>
              <w:right w:w="55" w:type="dxa"/>
            </w:tcMar>
          </w:tcPr>
          <w:p>
            <w:pPr>
              <w:pStyle w:val="Normal"/>
              <w:jc w:val="center"/>
              <w:rPr>
                <w:rFonts w:ascii="Times New Roman" w:hAnsi="Times New Roman" w:cs="Times New Roman"/>
                <w:sz w:val="28"/>
                <w:szCs w:val="28"/>
              </w:rPr>
            </w:pPr>
            <w:r>
              <w:rPr>
                <w:rFonts w:cs="Times New Roman" w:ascii="Times New Roman" w:hAnsi="Times New Roman"/>
                <w:sz w:val="28"/>
                <w:szCs w:val="28"/>
              </w:rPr>
              <w:t xml:space="preserve">5.03.2027 </w:t>
            </w:r>
            <w:r>
              <w:rPr>
                <w:rStyle w:val="11"/>
                <w:rFonts w:eastAsia="Courier New"/>
                <w:sz w:val="28"/>
                <w:szCs w:val="28"/>
              </w:rPr>
              <w:t xml:space="preserve">— </w:t>
            </w:r>
            <w:r>
              <w:rPr>
                <w:rFonts w:cs="Times New Roman" w:ascii="Times New Roman" w:hAnsi="Times New Roman"/>
                <w:sz w:val="28"/>
                <w:szCs w:val="28"/>
              </w:rPr>
              <w:t xml:space="preserve"> 12.03.2027</w:t>
            </w:r>
          </w:p>
        </w:tc>
      </w:tr>
      <w:tr>
        <w:trPr>
          <w:trHeight w:val="20" w:hRule="atLeast"/>
        </w:trPr>
        <w:tc>
          <w:tcPr>
            <w:tcW w:w="6781" w:type="dxa"/>
            <w:tcBorders>
              <w:left w:val="single" w:sz="4" w:space="0" w:color="000000"/>
              <w:bottom w:val="single" w:sz="4" w:space="0" w:color="000000"/>
            </w:tcBorders>
            <w:shd w:color="auto" w:fill="FFFFFF" w:val="clear"/>
            <w:tcMar>
              <w:top w:w="55" w:type="dxa"/>
              <w:left w:w="55" w:type="dxa"/>
              <w:bottom w:w="55" w:type="dxa"/>
              <w:right w:w="55" w:type="dxa"/>
            </w:tcMar>
          </w:tcPr>
          <w:p>
            <w:pPr>
              <w:pStyle w:val="Normal"/>
              <w:rPr>
                <w:rFonts w:ascii="Times New Roman" w:hAnsi="Times New Roman" w:cs="Times New Roman"/>
                <w:sz w:val="28"/>
                <w:szCs w:val="28"/>
              </w:rPr>
            </w:pPr>
            <w:r>
              <w:rPr>
                <w:rFonts w:cs="Times New Roman" w:ascii="Times New Roman" w:hAnsi="Times New Roman"/>
                <w:sz w:val="28"/>
                <w:szCs w:val="28"/>
              </w:rPr>
              <w:t>Финальный подсчет результатов</w:t>
            </w:r>
          </w:p>
        </w:tc>
        <w:tc>
          <w:tcPr>
            <w:tcW w:w="3423" w:type="dxa"/>
            <w:tcBorders>
              <w:left w:val="single" w:sz="4" w:space="0" w:color="000000"/>
              <w:bottom w:val="single" w:sz="4" w:space="0" w:color="000000"/>
              <w:right w:val="single" w:sz="4" w:space="0" w:color="000000"/>
            </w:tcBorders>
            <w:shd w:color="auto" w:fill="FFFFFF" w:val="clear"/>
            <w:tcMar>
              <w:top w:w="55" w:type="dxa"/>
              <w:left w:w="55" w:type="dxa"/>
              <w:bottom w:w="55" w:type="dxa"/>
              <w:right w:w="55" w:type="dxa"/>
            </w:tcMar>
          </w:tcPr>
          <w:p>
            <w:pPr>
              <w:pStyle w:val="Normal"/>
              <w:jc w:val="center"/>
              <w:rPr>
                <w:rFonts w:ascii="Times New Roman" w:hAnsi="Times New Roman" w:cs="Times New Roman"/>
                <w:sz w:val="28"/>
                <w:szCs w:val="28"/>
              </w:rPr>
            </w:pPr>
            <w:r>
              <w:rPr>
                <w:rFonts w:cs="Times New Roman" w:ascii="Times New Roman" w:hAnsi="Times New Roman"/>
                <w:sz w:val="28"/>
                <w:szCs w:val="28"/>
              </w:rPr>
              <w:t xml:space="preserve">12.03.2027 </w:t>
            </w:r>
            <w:r>
              <w:rPr>
                <w:rStyle w:val="11"/>
                <w:rFonts w:eastAsia="Courier New"/>
                <w:sz w:val="28"/>
                <w:szCs w:val="28"/>
              </w:rPr>
              <w:t xml:space="preserve">— </w:t>
            </w:r>
            <w:r>
              <w:rPr>
                <w:rFonts w:cs="Times New Roman" w:ascii="Times New Roman" w:hAnsi="Times New Roman"/>
                <w:sz w:val="28"/>
                <w:szCs w:val="28"/>
              </w:rPr>
              <w:t xml:space="preserve"> 26.03.2027</w:t>
            </w:r>
          </w:p>
        </w:tc>
      </w:tr>
      <w:tr>
        <w:trPr>
          <w:trHeight w:val="20" w:hRule="atLeast"/>
        </w:trPr>
        <w:tc>
          <w:tcPr>
            <w:tcW w:w="6781" w:type="dxa"/>
            <w:tcBorders>
              <w:left w:val="single" w:sz="4" w:space="0" w:color="000000"/>
              <w:bottom w:val="single" w:sz="4" w:space="0" w:color="000000"/>
            </w:tcBorders>
            <w:shd w:color="auto" w:fill="FFFFFF" w:val="clear"/>
            <w:tcMar>
              <w:top w:w="55" w:type="dxa"/>
              <w:left w:w="55" w:type="dxa"/>
              <w:bottom w:w="55" w:type="dxa"/>
              <w:right w:w="55" w:type="dxa"/>
            </w:tcMar>
          </w:tcPr>
          <w:p>
            <w:pPr>
              <w:pStyle w:val="Normal"/>
              <w:rPr>
                <w:rFonts w:ascii="Times New Roman" w:hAnsi="Times New Roman" w:cs="Times New Roman"/>
                <w:sz w:val="28"/>
                <w:szCs w:val="28"/>
              </w:rPr>
            </w:pPr>
            <w:r>
              <w:rPr>
                <w:rStyle w:val="11"/>
                <w:rFonts w:eastAsia="Courier New"/>
                <w:sz w:val="28"/>
                <w:szCs w:val="28"/>
              </w:rPr>
              <w:t>Вручение призов</w:t>
            </w:r>
          </w:p>
        </w:tc>
        <w:tc>
          <w:tcPr>
            <w:tcW w:w="3423" w:type="dxa"/>
            <w:tcBorders>
              <w:left w:val="single" w:sz="4" w:space="0" w:color="000000"/>
              <w:bottom w:val="single" w:sz="4" w:space="0" w:color="000000"/>
              <w:right w:val="single" w:sz="4" w:space="0" w:color="000000"/>
            </w:tcBorders>
            <w:shd w:color="auto" w:fill="FFFFFF" w:val="clear"/>
            <w:tcMar>
              <w:top w:w="55" w:type="dxa"/>
              <w:left w:w="55" w:type="dxa"/>
              <w:bottom w:w="55" w:type="dxa"/>
              <w:right w:w="55" w:type="dxa"/>
            </w:tcMar>
          </w:tcPr>
          <w:p>
            <w:pPr>
              <w:pStyle w:val="Normal"/>
              <w:jc w:val="center"/>
              <w:rPr>
                <w:rFonts w:ascii="Times New Roman" w:hAnsi="Times New Roman" w:cs="Times New Roman"/>
                <w:sz w:val="28"/>
                <w:szCs w:val="28"/>
              </w:rPr>
            </w:pPr>
            <w:r>
              <w:rPr>
                <w:rFonts w:cs="Times New Roman" w:ascii="Times New Roman" w:hAnsi="Times New Roman"/>
                <w:sz w:val="28"/>
                <w:szCs w:val="28"/>
              </w:rPr>
              <w:t>12.04.2027</w:t>
            </w:r>
          </w:p>
        </w:tc>
      </w:tr>
    </w:tbl>
    <w:p>
      <w:pPr>
        <w:pStyle w:val="Normal"/>
        <w:rPr>
          <w:rFonts w:ascii="Times New Roman" w:hAnsi="Times New Roman" w:cs="Times New Roman"/>
          <w:sz w:val="28"/>
          <w:szCs w:val="28"/>
        </w:rPr>
      </w:pPr>
      <w:r>
        <w:rPr>
          <w:rFonts w:cs="Times New Roman" w:ascii="Times New Roman" w:hAnsi="Times New Roman"/>
          <w:sz w:val="28"/>
          <w:szCs w:val="28"/>
        </w:rPr>
      </w:r>
    </w:p>
    <w:p>
      <w:pPr>
        <w:pStyle w:val="16"/>
        <w:keepNext w:val="true"/>
        <w:keepLines/>
        <w:numPr>
          <w:ilvl w:val="0"/>
          <w:numId w:val="1"/>
        </w:numPr>
        <w:shd w:val="clear" w:color="auto" w:fill="auto"/>
        <w:tabs>
          <w:tab w:val="clear" w:pos="708"/>
          <w:tab w:val="left" w:pos="998" w:leader="none"/>
        </w:tabs>
        <w:spacing w:lineRule="exact" w:line="485" w:before="0" w:after="0"/>
        <w:ind w:firstLine="700" w:left="20"/>
        <w:jc w:val="both"/>
        <w:rPr>
          <w:sz w:val="28"/>
          <w:szCs w:val="28"/>
        </w:rPr>
      </w:pPr>
      <w:bookmarkStart w:id="5" w:name="bookmark5"/>
      <w:r>
        <w:rPr>
          <w:sz w:val="28"/>
          <w:szCs w:val="28"/>
        </w:rPr>
        <w:t>Требования к конкурсным работам (произведениям)</w:t>
      </w:r>
      <w:bookmarkEnd w:id="5"/>
    </w:p>
    <w:p>
      <w:pPr>
        <w:pStyle w:val="22"/>
        <w:numPr>
          <w:ilvl w:val="1"/>
          <w:numId w:val="1"/>
        </w:numPr>
        <w:shd w:val="clear" w:color="auto" w:fill="auto"/>
        <w:tabs>
          <w:tab w:val="clear" w:pos="708"/>
          <w:tab w:val="left" w:pos="1215" w:leader="none"/>
        </w:tabs>
        <w:spacing w:lineRule="exact" w:line="485" w:before="0" w:after="0"/>
        <w:ind w:firstLine="700" w:left="20" w:right="20"/>
        <w:jc w:val="both"/>
        <w:rPr>
          <w:sz w:val="28"/>
          <w:szCs w:val="28"/>
        </w:rPr>
      </w:pPr>
      <w:r>
        <w:rPr>
          <w:sz w:val="28"/>
          <w:szCs w:val="28"/>
        </w:rPr>
        <w:t xml:space="preserve">Объем рассказа </w:t>
      </w:r>
      <w:r>
        <w:rPr>
          <w:rStyle w:val="11"/>
          <w:rFonts w:eastAsia="Courier New"/>
          <w:sz w:val="28"/>
          <w:szCs w:val="28"/>
        </w:rPr>
        <w:t>–</w:t>
      </w:r>
      <w:r>
        <w:rPr>
          <w:sz w:val="28"/>
          <w:szCs w:val="28"/>
        </w:rPr>
        <w:t xml:space="preserve"> до 20 000 знаков (включая пробелы).</w:t>
      </w:r>
    </w:p>
    <w:p>
      <w:pPr>
        <w:pStyle w:val="22"/>
        <w:numPr>
          <w:ilvl w:val="1"/>
          <w:numId w:val="1"/>
        </w:numPr>
        <w:shd w:val="clear" w:color="auto" w:fill="auto"/>
        <w:tabs>
          <w:tab w:val="clear" w:pos="708"/>
          <w:tab w:val="left" w:pos="1215" w:leader="none"/>
        </w:tabs>
        <w:spacing w:lineRule="exact" w:line="485" w:before="0" w:after="0"/>
        <w:ind w:firstLine="700" w:left="20" w:right="20"/>
        <w:jc w:val="both"/>
        <w:rPr>
          <w:sz w:val="28"/>
          <w:szCs w:val="28"/>
        </w:rPr>
      </w:pPr>
      <w:r>
        <w:rPr>
          <w:sz w:val="28"/>
          <w:szCs w:val="28"/>
        </w:rPr>
        <w:t>Произведения, сгенерированные искусственным интеллектом,                              не принимаются.</w:t>
      </w:r>
    </w:p>
    <w:p>
      <w:pPr>
        <w:pStyle w:val="22"/>
        <w:numPr>
          <w:ilvl w:val="1"/>
          <w:numId w:val="1"/>
        </w:numPr>
        <w:shd w:val="clear" w:color="auto" w:fill="auto"/>
        <w:tabs>
          <w:tab w:val="clear" w:pos="708"/>
          <w:tab w:val="left" w:pos="1215" w:leader="none"/>
        </w:tabs>
        <w:spacing w:lineRule="exact" w:line="485" w:before="0" w:after="0"/>
        <w:ind w:firstLine="700" w:left="20" w:right="20"/>
        <w:jc w:val="both"/>
        <w:rPr>
          <w:sz w:val="28"/>
          <w:szCs w:val="28"/>
        </w:rPr>
      </w:pPr>
      <w:r>
        <w:rPr>
          <w:sz w:val="28"/>
          <w:szCs w:val="28"/>
        </w:rPr>
        <w:t>Нецензурную лексику необходимо маскировать символами (звездочками) так, чтобы нельзя было однозначно распознать слово, либо не использовать вовсе.</w:t>
      </w:r>
    </w:p>
    <w:p>
      <w:pPr>
        <w:pStyle w:val="22"/>
        <w:numPr>
          <w:ilvl w:val="1"/>
          <w:numId w:val="1"/>
        </w:numPr>
        <w:shd w:val="clear" w:color="auto" w:fill="auto"/>
        <w:tabs>
          <w:tab w:val="clear" w:pos="708"/>
          <w:tab w:val="left" w:pos="1215" w:leader="none"/>
        </w:tabs>
        <w:spacing w:lineRule="exact" w:line="485" w:before="0" w:after="0"/>
        <w:ind w:firstLine="700" w:left="20" w:right="20"/>
        <w:jc w:val="both"/>
        <w:rPr>
          <w:sz w:val="28"/>
          <w:szCs w:val="28"/>
        </w:rPr>
      </w:pPr>
      <w:r>
        <w:rPr>
          <w:sz w:val="28"/>
          <w:szCs w:val="28"/>
        </w:rPr>
        <w:t xml:space="preserve">Принимаются файлы в форматах doc/docx/odt/rtf. Работы в формате </w:t>
      </w:r>
      <w:r>
        <w:rPr>
          <w:sz w:val="28"/>
          <w:szCs w:val="28"/>
          <w:lang w:val="en-US"/>
        </w:rPr>
        <w:t>pdf</w:t>
      </w:r>
      <w:r>
        <w:rPr>
          <w:sz w:val="28"/>
          <w:szCs w:val="28"/>
        </w:rPr>
        <w:t xml:space="preserve">             не принимаются.</w:t>
      </w:r>
    </w:p>
    <w:p>
      <w:pPr>
        <w:pStyle w:val="16"/>
        <w:keepNext w:val="true"/>
        <w:keepLines/>
        <w:numPr>
          <w:ilvl w:val="0"/>
          <w:numId w:val="1"/>
        </w:numPr>
        <w:shd w:val="clear" w:color="auto" w:fill="auto"/>
        <w:tabs>
          <w:tab w:val="clear" w:pos="708"/>
          <w:tab w:val="left" w:pos="1008" w:leader="none"/>
        </w:tabs>
        <w:spacing w:lineRule="exact" w:line="485" w:before="0" w:after="0"/>
        <w:ind w:firstLine="700" w:left="20"/>
        <w:jc w:val="both"/>
        <w:rPr>
          <w:sz w:val="28"/>
          <w:szCs w:val="28"/>
        </w:rPr>
      </w:pPr>
      <w:bookmarkStart w:id="6" w:name="bookmark6"/>
      <w:bookmarkStart w:id="7" w:name="_GoBack"/>
      <w:bookmarkEnd w:id="7"/>
      <w:r>
        <w:rPr>
          <w:sz w:val="28"/>
          <w:szCs w:val="28"/>
        </w:rPr>
        <w:t>Требования к оформлению заявки на участие в Конкурсе</w:t>
      </w:r>
      <w:bookmarkEnd w:id="6"/>
    </w:p>
    <w:p>
      <w:pPr>
        <w:pStyle w:val="22"/>
        <w:numPr>
          <w:ilvl w:val="1"/>
          <w:numId w:val="1"/>
        </w:numPr>
        <w:shd w:val="clear" w:color="auto" w:fill="auto"/>
        <w:tabs>
          <w:tab w:val="clear" w:pos="708"/>
          <w:tab w:val="left" w:pos="1254" w:leader="none"/>
        </w:tabs>
        <w:spacing w:lineRule="exact" w:line="485" w:before="0" w:after="0"/>
        <w:ind w:firstLine="720" w:left="40" w:right="20"/>
        <w:jc w:val="both"/>
        <w:rPr>
          <w:sz w:val="28"/>
          <w:szCs w:val="28"/>
        </w:rPr>
      </w:pPr>
      <w:r>
        <w:rPr>
          <w:sz w:val="28"/>
          <w:szCs w:val="28"/>
        </w:rPr>
        <w:t xml:space="preserve">Работа направляется посредством заполнения заявки по ссылке </w:t>
      </w:r>
      <w:hyperlink r:id="rId3">
        <w:r>
          <w:rPr>
            <w:rStyle w:val="Hyperlink"/>
            <w:color w:val="auto"/>
            <w:sz w:val="28"/>
            <w:szCs w:val="28"/>
            <w:u w:val="none"/>
          </w:rPr>
          <w:t>https://it.mephi.ru/webform/3159</w:t>
        </w:r>
      </w:hyperlink>
      <w:r>
        <w:rPr>
          <w:rStyle w:val="Hyperlink"/>
          <w:color w:val="auto"/>
          <w:sz w:val="28"/>
          <w:szCs w:val="28"/>
          <w:u w:val="none"/>
        </w:rPr>
        <w:t>.</w:t>
      </w:r>
    </w:p>
    <w:p>
      <w:pPr>
        <w:pStyle w:val="16"/>
        <w:keepNext w:val="true"/>
        <w:keepLines/>
        <w:numPr>
          <w:ilvl w:val="0"/>
          <w:numId w:val="1"/>
        </w:numPr>
        <w:shd w:val="clear" w:color="auto" w:fill="auto"/>
        <w:tabs>
          <w:tab w:val="clear" w:pos="708"/>
          <w:tab w:val="left" w:pos="998" w:leader="none"/>
        </w:tabs>
        <w:spacing w:lineRule="exact" w:line="485" w:before="0" w:after="0"/>
        <w:ind w:firstLine="700" w:left="20"/>
        <w:jc w:val="both"/>
        <w:rPr>
          <w:sz w:val="28"/>
          <w:szCs w:val="28"/>
        </w:rPr>
      </w:pPr>
      <w:bookmarkStart w:id="8" w:name="bookmark7"/>
      <w:r>
        <w:rPr>
          <w:sz w:val="28"/>
          <w:szCs w:val="28"/>
        </w:rPr>
        <w:t>Порядок приема заявок и конкурсных работ</w:t>
      </w:r>
      <w:bookmarkEnd w:id="8"/>
    </w:p>
    <w:p>
      <w:pPr>
        <w:pStyle w:val="22"/>
        <w:numPr>
          <w:ilvl w:val="1"/>
          <w:numId w:val="1"/>
        </w:numPr>
        <w:shd w:val="clear" w:color="auto" w:fill="auto"/>
        <w:tabs>
          <w:tab w:val="clear" w:pos="708"/>
          <w:tab w:val="left" w:pos="1218" w:leader="none"/>
        </w:tabs>
        <w:spacing w:lineRule="exact" w:line="485" w:before="0" w:after="0"/>
        <w:ind w:firstLine="700" w:left="20" w:right="20"/>
        <w:jc w:val="both"/>
        <w:rPr>
          <w:sz w:val="28"/>
          <w:szCs w:val="28"/>
        </w:rPr>
      </w:pPr>
      <w:r>
        <w:rPr>
          <w:sz w:val="28"/>
          <w:szCs w:val="28"/>
        </w:rPr>
        <w:t>Для участия в Конкурсе авторы в срок с 20 октября 2026 года по 07 февраля 2027 года заполняют заявки на участие в Конкурсе и загружают файл с конкурсной работой на официальную страницу Конкурса на сайте НИЯУ МИФИ.</w:t>
      </w:r>
    </w:p>
    <w:p>
      <w:pPr>
        <w:pStyle w:val="22"/>
        <w:numPr>
          <w:ilvl w:val="1"/>
          <w:numId w:val="1"/>
        </w:numPr>
        <w:shd w:val="clear" w:color="auto" w:fill="auto"/>
        <w:tabs>
          <w:tab w:val="clear" w:pos="708"/>
          <w:tab w:val="left" w:pos="1218" w:leader="none"/>
        </w:tabs>
        <w:spacing w:lineRule="exact" w:line="485" w:before="0" w:after="0"/>
        <w:ind w:firstLine="700" w:left="20" w:right="20"/>
        <w:jc w:val="both"/>
        <w:rPr>
          <w:sz w:val="28"/>
          <w:szCs w:val="28"/>
        </w:rPr>
      </w:pPr>
      <w:r>
        <w:rPr>
          <w:sz w:val="28"/>
          <w:szCs w:val="28"/>
        </w:rPr>
        <w:t>Подавая заявку на Конкурс, автор соглашается передать НИЯУ МИФИ право на использование, воспроизведение и доведение до всеобщего сведения конкурсной работы целиком или её части на территории всего мира на весь срок действия исключительного права и на безвозмездной основе.</w:t>
      </w:r>
    </w:p>
    <w:p>
      <w:pPr>
        <w:pStyle w:val="22"/>
        <w:shd w:val="clear" w:color="auto" w:fill="auto"/>
        <w:spacing w:lineRule="exact" w:line="490" w:before="0" w:after="0"/>
        <w:ind w:firstLine="700" w:left="20"/>
        <w:jc w:val="both"/>
        <w:rPr>
          <w:sz w:val="28"/>
          <w:szCs w:val="28"/>
        </w:rPr>
      </w:pPr>
      <w:r>
        <w:rPr>
          <w:sz w:val="28"/>
          <w:szCs w:val="28"/>
        </w:rPr>
        <w:t>Организатор вправе использовать конкурсные работы, не удостоенные награды, на вышеуказанных условиях.</w:t>
      </w:r>
    </w:p>
    <w:p>
      <w:pPr>
        <w:pStyle w:val="22"/>
        <w:numPr>
          <w:ilvl w:val="1"/>
          <w:numId w:val="1"/>
        </w:numPr>
        <w:shd w:val="clear" w:color="auto" w:fill="auto"/>
        <w:tabs>
          <w:tab w:val="clear" w:pos="708"/>
          <w:tab w:val="left" w:pos="1218" w:leader="none"/>
        </w:tabs>
        <w:spacing w:lineRule="exact" w:line="485" w:before="0" w:after="0"/>
        <w:ind w:firstLine="700" w:left="20" w:right="20"/>
        <w:jc w:val="both"/>
        <w:rPr>
          <w:sz w:val="28"/>
          <w:szCs w:val="28"/>
        </w:rPr>
      </w:pPr>
      <w:r>
        <w:rPr>
          <w:sz w:val="28"/>
          <w:szCs w:val="28"/>
        </w:rPr>
        <w:t>Автор гарантирует, что, подавая заявку на участие в Конкурсе, не нарушает авторских прав или иных прав интеллектуальной собственности третьих лиц, иных прав, в том числе на передачу персональных данных соавторов и правообладателей, а также что им не заключались и не будут заключаться в дальнейшем какие-либо договоры, предусматривающие отчуждение прав на конкурсную работу.</w:t>
      </w:r>
    </w:p>
    <w:p>
      <w:pPr>
        <w:pStyle w:val="22"/>
        <w:shd w:val="clear" w:color="auto" w:fill="auto"/>
        <w:spacing w:lineRule="exact" w:line="490" w:before="0" w:after="0"/>
        <w:ind w:firstLine="700" w:left="20"/>
        <w:jc w:val="both"/>
        <w:rPr>
          <w:sz w:val="28"/>
          <w:szCs w:val="28"/>
        </w:rPr>
      </w:pPr>
      <w:r>
        <w:rPr>
          <w:sz w:val="28"/>
          <w:szCs w:val="28"/>
        </w:rPr>
        <w:t>В случае использования автором заимствованных материалов (иллюстраций, цитат и др.) он обязан иметь разрешение на их использование в конкурсной работе  от правообладателей и предъявить его по требованию Организатора,</w:t>
      </w:r>
    </w:p>
    <w:p>
      <w:pPr>
        <w:pStyle w:val="22"/>
        <w:shd w:val="clear" w:color="auto" w:fill="auto"/>
        <w:spacing w:lineRule="exact" w:line="480" w:before="0" w:after="0"/>
        <w:ind w:firstLine="700" w:left="20"/>
        <w:jc w:val="both"/>
        <w:rPr>
          <w:sz w:val="28"/>
          <w:szCs w:val="28"/>
        </w:rPr>
      </w:pPr>
      <w:r>
        <w:rPr>
          <w:sz w:val="28"/>
          <w:szCs w:val="28"/>
        </w:rPr>
        <w:t>Автор обязуется уведомить Организатора о любых обстоятельствах, влияющих на использование Конкурсной работы, в течение 2 (двух) дней с момента                                их возникновения, в том числе, но не ограничиваясь, о включении автора                        и/или правообладателя (-ей) в Реестр иностранных агентов Министерства юстиции Российской Федерации.</w:t>
      </w:r>
    </w:p>
    <w:p>
      <w:pPr>
        <w:pStyle w:val="22"/>
        <w:numPr>
          <w:ilvl w:val="1"/>
          <w:numId w:val="1"/>
        </w:numPr>
        <w:shd w:val="clear" w:color="auto" w:fill="auto"/>
        <w:tabs>
          <w:tab w:val="clear" w:pos="708"/>
          <w:tab w:val="left" w:pos="1218" w:leader="none"/>
        </w:tabs>
        <w:spacing w:lineRule="exact" w:line="485" w:before="0" w:after="0"/>
        <w:ind w:firstLine="700" w:left="20" w:right="20"/>
        <w:jc w:val="both"/>
        <w:rPr>
          <w:sz w:val="28"/>
          <w:szCs w:val="28"/>
        </w:rPr>
      </w:pPr>
      <w:r>
        <w:rPr>
          <w:sz w:val="28"/>
          <w:szCs w:val="28"/>
        </w:rPr>
        <w:t xml:space="preserve">Подавая заявку на участие в Конкурсе, участник дает согласие Организатору Конкурса на обработку персональных данных участников,                               их законных представителей, включающую сбор персональных данных,                                  их систематизацию, накопление, хранение, уточнение (обновление, изменение), использование, блокирование и другое. Обработка персональных данных производится в соответствии с требованиями Федерального закона                                              от 27 июля 2006 г. № 152-ФЗ «О персональных данных» и Политики Агентства                   в отношении обработки персональных данных, размещенной на сайте </w:t>
      </w:r>
      <w:r>
        <w:rPr>
          <w:sz w:val="28"/>
          <w:szCs w:val="28"/>
          <w:lang w:val="en-US"/>
        </w:rPr>
        <w:t>asi</w:t>
      </w:r>
      <w:r>
        <w:rPr>
          <w:sz w:val="28"/>
          <w:szCs w:val="28"/>
        </w:rPr>
        <w:t>.</w:t>
      </w:r>
      <w:r>
        <w:rPr>
          <w:sz w:val="28"/>
          <w:szCs w:val="28"/>
          <w:lang w:val="en-US"/>
        </w:rPr>
        <w:t>ru</w:t>
      </w:r>
      <w:r>
        <w:rPr>
          <w:sz w:val="28"/>
          <w:szCs w:val="28"/>
        </w:rPr>
        <w:t>.</w:t>
      </w:r>
    </w:p>
    <w:p>
      <w:pPr>
        <w:pStyle w:val="22"/>
        <w:shd w:val="clear" w:color="auto" w:fill="auto"/>
        <w:spacing w:lineRule="exact" w:line="485" w:before="0" w:after="0"/>
        <w:ind w:firstLine="700" w:left="20" w:right="20"/>
        <w:jc w:val="both"/>
        <w:rPr>
          <w:sz w:val="28"/>
          <w:szCs w:val="28"/>
        </w:rPr>
      </w:pPr>
      <w:r>
        <w:rPr>
          <w:sz w:val="28"/>
          <w:szCs w:val="28"/>
        </w:rPr>
        <w:t>Персональные данные получаются и обрабатываются Организатором исключительно в целях проведения Конкурса.</w:t>
      </w:r>
    </w:p>
    <w:p>
      <w:pPr>
        <w:pStyle w:val="22"/>
        <w:numPr>
          <w:ilvl w:val="1"/>
          <w:numId w:val="1"/>
        </w:numPr>
        <w:shd w:val="clear" w:color="auto" w:fill="auto"/>
        <w:tabs>
          <w:tab w:val="clear" w:pos="708"/>
          <w:tab w:val="left" w:pos="1220" w:leader="none"/>
        </w:tabs>
        <w:spacing w:lineRule="exact" w:line="485" w:before="0" w:after="0"/>
        <w:ind w:firstLine="700" w:left="20" w:right="20"/>
        <w:jc w:val="both"/>
        <w:rPr>
          <w:sz w:val="28"/>
          <w:szCs w:val="28"/>
        </w:rPr>
      </w:pPr>
      <w:r>
        <w:rPr>
          <w:sz w:val="28"/>
          <w:szCs w:val="28"/>
        </w:rPr>
        <w:t>Подавая заявку на участие в Конкурсе, участник, в соответствии                                с требованиями Федерального закона от 27 июля 2006 г. № 152-ФЗ «О персональных данных», дает согласие Организатору на обработку в форме распространения следующих своих персональных данных:</w:t>
      </w:r>
    </w:p>
    <w:p>
      <w:pPr>
        <w:pStyle w:val="22"/>
        <w:numPr>
          <w:ilvl w:val="0"/>
          <w:numId w:val="2"/>
        </w:numPr>
        <w:shd w:val="clear" w:color="auto" w:fill="auto"/>
        <w:tabs>
          <w:tab w:val="clear" w:pos="708"/>
          <w:tab w:val="left" w:pos="942" w:leader="none"/>
        </w:tabs>
        <w:spacing w:lineRule="exact" w:line="485" w:before="0" w:after="0"/>
        <w:ind w:firstLine="700" w:left="20"/>
        <w:jc w:val="both"/>
        <w:rPr>
          <w:sz w:val="28"/>
          <w:szCs w:val="28"/>
        </w:rPr>
      </w:pPr>
      <w:r>
        <w:rPr>
          <w:sz w:val="28"/>
          <w:szCs w:val="28"/>
        </w:rPr>
        <w:t>фамилия, имя, отчество;</w:t>
      </w:r>
    </w:p>
    <w:p>
      <w:pPr>
        <w:pStyle w:val="22"/>
        <w:numPr>
          <w:ilvl w:val="0"/>
          <w:numId w:val="2"/>
        </w:numPr>
        <w:shd w:val="clear" w:color="auto" w:fill="auto"/>
        <w:tabs>
          <w:tab w:val="clear" w:pos="708"/>
          <w:tab w:val="left" w:pos="942" w:leader="none"/>
        </w:tabs>
        <w:spacing w:lineRule="exact" w:line="485" w:before="0" w:after="0"/>
        <w:ind w:firstLine="700" w:left="20"/>
        <w:jc w:val="both"/>
        <w:rPr>
          <w:sz w:val="28"/>
          <w:szCs w:val="28"/>
        </w:rPr>
      </w:pPr>
      <w:r>
        <w:rPr>
          <w:sz w:val="28"/>
          <w:szCs w:val="28"/>
        </w:rPr>
        <w:t>место проживания (населённый пункт);</w:t>
      </w:r>
    </w:p>
    <w:p>
      <w:pPr>
        <w:pStyle w:val="22"/>
        <w:numPr>
          <w:ilvl w:val="0"/>
          <w:numId w:val="2"/>
        </w:numPr>
        <w:shd w:val="clear" w:color="auto" w:fill="auto"/>
        <w:tabs>
          <w:tab w:val="clear" w:pos="708"/>
          <w:tab w:val="left" w:pos="942" w:leader="none"/>
        </w:tabs>
        <w:spacing w:lineRule="exact" w:line="485" w:before="0" w:after="0"/>
        <w:ind w:firstLine="700" w:left="20"/>
        <w:jc w:val="both"/>
        <w:rPr>
          <w:sz w:val="28"/>
          <w:szCs w:val="28"/>
        </w:rPr>
      </w:pPr>
      <w:r>
        <w:rPr>
          <w:sz w:val="28"/>
          <w:szCs w:val="28"/>
        </w:rPr>
        <w:t>дата рождения;</w:t>
      </w:r>
    </w:p>
    <w:p>
      <w:pPr>
        <w:pStyle w:val="22"/>
        <w:numPr>
          <w:ilvl w:val="0"/>
          <w:numId w:val="2"/>
        </w:numPr>
        <w:shd w:val="clear" w:color="auto" w:fill="auto"/>
        <w:tabs>
          <w:tab w:val="clear" w:pos="708"/>
          <w:tab w:val="left" w:pos="942" w:leader="none"/>
        </w:tabs>
        <w:spacing w:lineRule="exact" w:line="485" w:before="0" w:after="0"/>
        <w:ind w:firstLine="700" w:left="20"/>
        <w:jc w:val="both"/>
        <w:rPr>
          <w:sz w:val="28"/>
          <w:szCs w:val="28"/>
        </w:rPr>
      </w:pPr>
      <w:r>
        <w:rPr>
          <w:sz w:val="28"/>
          <w:szCs w:val="28"/>
        </w:rPr>
        <w:t>электронная почта;</w:t>
      </w:r>
    </w:p>
    <w:p>
      <w:pPr>
        <w:pStyle w:val="22"/>
        <w:numPr>
          <w:ilvl w:val="0"/>
          <w:numId w:val="2"/>
        </w:numPr>
        <w:shd w:val="clear" w:color="auto" w:fill="auto"/>
        <w:tabs>
          <w:tab w:val="clear" w:pos="708"/>
          <w:tab w:val="left" w:pos="942" w:leader="none"/>
        </w:tabs>
        <w:spacing w:lineRule="exact" w:line="485" w:before="0" w:after="0"/>
        <w:ind w:firstLine="700" w:left="20"/>
        <w:jc w:val="both"/>
        <w:rPr>
          <w:sz w:val="28"/>
          <w:szCs w:val="28"/>
        </w:rPr>
      </w:pPr>
      <w:r>
        <w:rPr>
          <w:sz w:val="28"/>
          <w:szCs w:val="28"/>
        </w:rPr>
        <w:t>номер телефона.</w:t>
      </w:r>
    </w:p>
    <w:p>
      <w:pPr>
        <w:pStyle w:val="22"/>
        <w:shd w:val="clear" w:color="auto" w:fill="auto"/>
        <w:spacing w:lineRule="exact" w:line="485" w:before="0" w:after="0"/>
        <w:ind w:firstLine="700" w:left="20" w:right="20"/>
        <w:jc w:val="both"/>
        <w:rPr>
          <w:sz w:val="28"/>
          <w:szCs w:val="28"/>
        </w:rPr>
      </w:pPr>
      <w:r>
        <w:rPr>
          <w:sz w:val="28"/>
          <w:szCs w:val="28"/>
        </w:rPr>
        <w:t>Условия и запреты на обработку вышеуказанных персональных данных                       (ч. 9 ст. 10.1 Федерального закона от 27 июля 2006 г. № 152-ФЗ «О персональных данных») участникам не устанавливаются.</w:t>
      </w:r>
    </w:p>
    <w:p>
      <w:pPr>
        <w:pStyle w:val="22"/>
        <w:shd w:val="clear" w:color="auto" w:fill="auto"/>
        <w:spacing w:lineRule="exact" w:line="485" w:before="0" w:after="0"/>
        <w:ind w:firstLine="700" w:left="20" w:right="20"/>
        <w:jc w:val="both"/>
        <w:rPr>
          <w:sz w:val="28"/>
          <w:szCs w:val="28"/>
        </w:rPr>
      </w:pPr>
      <w:r>
        <w:rPr>
          <w:sz w:val="28"/>
          <w:szCs w:val="28"/>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устанавливаются.</w:t>
      </w:r>
    </w:p>
    <w:p>
      <w:pPr>
        <w:pStyle w:val="22"/>
        <w:shd w:val="clear" w:color="auto" w:fill="auto"/>
        <w:spacing w:lineRule="exact" w:line="485" w:before="0" w:after="0"/>
        <w:ind w:firstLine="700" w:left="20" w:right="20"/>
        <w:jc w:val="both"/>
        <w:rPr>
          <w:sz w:val="28"/>
          <w:szCs w:val="28"/>
        </w:rPr>
      </w:pPr>
      <w:r>
        <w:rPr>
          <w:sz w:val="28"/>
          <w:szCs w:val="28"/>
        </w:rPr>
        <w:t>Настоящее согласие действует со дня его подписания до окончания проведения Конкурса либо до дня его отзыва в простой письменной форме.</w:t>
      </w:r>
    </w:p>
    <w:p>
      <w:pPr>
        <w:pStyle w:val="16"/>
        <w:keepNext w:val="true"/>
        <w:keepLines/>
        <w:numPr>
          <w:ilvl w:val="0"/>
          <w:numId w:val="1"/>
        </w:numPr>
        <w:shd w:val="clear" w:color="auto" w:fill="auto"/>
        <w:tabs>
          <w:tab w:val="clear" w:pos="708"/>
          <w:tab w:val="left" w:pos="1018" w:leader="none"/>
        </w:tabs>
        <w:spacing w:lineRule="exact" w:line="485" w:before="0" w:after="0"/>
        <w:ind w:firstLine="700" w:left="20"/>
        <w:jc w:val="both"/>
        <w:rPr>
          <w:sz w:val="28"/>
          <w:szCs w:val="28"/>
        </w:rPr>
      </w:pPr>
      <w:bookmarkStart w:id="9" w:name="bookmark8"/>
      <w:r>
        <w:rPr>
          <w:sz w:val="28"/>
          <w:szCs w:val="28"/>
        </w:rPr>
        <w:t>Порядок рассмотрения заявок и конкурсных работ</w:t>
      </w:r>
      <w:bookmarkEnd w:id="9"/>
    </w:p>
    <w:p>
      <w:pPr>
        <w:pStyle w:val="22"/>
        <w:numPr>
          <w:ilvl w:val="1"/>
          <w:numId w:val="1"/>
        </w:numPr>
        <w:shd w:val="clear" w:color="auto" w:fill="auto"/>
        <w:tabs>
          <w:tab w:val="clear" w:pos="708"/>
          <w:tab w:val="left" w:pos="1232" w:leader="none"/>
        </w:tabs>
        <w:spacing w:lineRule="exact" w:line="485" w:before="0" w:after="0"/>
        <w:ind w:firstLine="700" w:left="20" w:right="20"/>
        <w:jc w:val="both"/>
        <w:rPr>
          <w:sz w:val="28"/>
          <w:szCs w:val="28"/>
        </w:rPr>
      </w:pPr>
      <w:r>
        <w:rPr>
          <w:sz w:val="28"/>
          <w:szCs w:val="28"/>
        </w:rPr>
        <w:t>Конкурс проводится заочно на основе представленных участниками конкурсных работ (произведений).</w:t>
      </w:r>
    </w:p>
    <w:p>
      <w:pPr>
        <w:pStyle w:val="22"/>
        <w:numPr>
          <w:ilvl w:val="1"/>
          <w:numId w:val="1"/>
        </w:numPr>
        <w:shd w:val="clear" w:color="auto" w:fill="auto"/>
        <w:tabs>
          <w:tab w:val="clear" w:pos="708"/>
          <w:tab w:val="left" w:pos="1232" w:leader="none"/>
        </w:tabs>
        <w:spacing w:lineRule="exact" w:line="485" w:before="0" w:after="0"/>
        <w:ind w:firstLine="700" w:left="20" w:right="20"/>
        <w:jc w:val="both"/>
        <w:rPr>
          <w:sz w:val="28"/>
          <w:szCs w:val="28"/>
        </w:rPr>
      </w:pPr>
      <w:r>
        <w:rPr>
          <w:sz w:val="28"/>
          <w:szCs w:val="28"/>
        </w:rPr>
        <w:t>Методика оценки конкурсных работ (произведений).</w:t>
      </w:r>
    </w:p>
    <w:p>
      <w:pPr>
        <w:pStyle w:val="22"/>
        <w:shd w:val="clear" w:color="auto" w:fill="auto"/>
        <w:spacing w:lineRule="exact" w:line="485" w:before="0" w:after="0"/>
        <w:ind w:firstLine="720" w:left="20" w:right="20"/>
        <w:jc w:val="both"/>
        <w:rPr>
          <w:sz w:val="28"/>
          <w:szCs w:val="28"/>
        </w:rPr>
      </w:pPr>
      <w:r>
        <w:rPr>
          <w:sz w:val="28"/>
          <w:szCs w:val="28"/>
        </w:rPr>
        <w:t>Каждая представленная на конкурс заявка проходит следующие этапы отбора:</w:t>
      </w:r>
    </w:p>
    <w:p>
      <w:pPr>
        <w:pStyle w:val="22"/>
        <w:numPr>
          <w:ilvl w:val="2"/>
          <w:numId w:val="1"/>
        </w:numPr>
        <w:shd w:val="clear" w:color="auto" w:fill="auto"/>
        <w:tabs>
          <w:tab w:val="clear" w:pos="708"/>
          <w:tab w:val="left" w:pos="1276" w:leader="none"/>
        </w:tabs>
        <w:spacing w:lineRule="exact" w:line="485" w:before="0" w:after="0"/>
        <w:ind w:firstLine="720" w:left="0" w:right="20"/>
        <w:jc w:val="both"/>
        <w:rPr>
          <w:sz w:val="28"/>
          <w:szCs w:val="28"/>
        </w:rPr>
      </w:pPr>
      <w:r>
        <w:rPr>
          <w:sz w:val="28"/>
          <w:szCs w:val="28"/>
        </w:rPr>
        <w:t>Технический отбор на соответствие условиям Конкурса и формальным требованиям к участникам.</w:t>
      </w:r>
    </w:p>
    <w:p>
      <w:pPr>
        <w:pStyle w:val="22"/>
        <w:shd w:val="clear" w:color="auto" w:fill="auto"/>
        <w:tabs>
          <w:tab w:val="clear" w:pos="708"/>
          <w:tab w:val="left" w:pos="1276" w:leader="none"/>
        </w:tabs>
        <w:spacing w:lineRule="exact" w:line="485" w:before="0" w:after="0"/>
        <w:ind w:firstLine="720" w:left="20" w:right="20"/>
        <w:jc w:val="both"/>
        <w:rPr>
          <w:sz w:val="28"/>
          <w:szCs w:val="28"/>
        </w:rPr>
      </w:pPr>
      <w:r>
        <w:rPr>
          <w:sz w:val="28"/>
          <w:szCs w:val="28"/>
        </w:rPr>
        <w:t>Технический отбор осуществляется представителями Организатора Конкурса. По результатам технического отбора формируется список участников, допущенных до оценки отборочной комиссии.</w:t>
      </w:r>
    </w:p>
    <w:p>
      <w:pPr>
        <w:pStyle w:val="22"/>
        <w:numPr>
          <w:ilvl w:val="2"/>
          <w:numId w:val="1"/>
        </w:numPr>
        <w:shd w:val="clear" w:color="auto" w:fill="auto"/>
        <w:tabs>
          <w:tab w:val="clear" w:pos="708"/>
          <w:tab w:val="left" w:pos="1560" w:leader="none"/>
        </w:tabs>
        <w:spacing w:lineRule="exact" w:line="485" w:before="0" w:after="0"/>
        <w:ind w:firstLine="720" w:left="0" w:right="20"/>
        <w:jc w:val="both"/>
        <w:rPr>
          <w:sz w:val="28"/>
          <w:szCs w:val="28"/>
          <w:shd w:fill="FFFF00" w:val="clear"/>
        </w:rPr>
      </w:pPr>
      <w:r>
        <w:rPr>
          <w:sz w:val="28"/>
          <w:szCs w:val="28"/>
        </w:rPr>
        <w:t>Все заявки, прошедшие</w:t>
      </w:r>
      <w:r>
        <w:rPr>
          <w:sz w:val="28"/>
          <w:szCs w:val="28"/>
          <w:shd w:fill="FFFFFF" w:val="clear"/>
        </w:rPr>
        <w:t xml:space="preserve"> технический отбор, передаются на оценку членам отборочной комиссии и далее экспертному жюри в обезличенном виде. Отборочная комиссия формируется Организатором Конкурса из экспертов в области писательского мастерства, редакторов профильных средств массовой информации            и тематических онлайн-ресурсов и осуществляет экспертизу и рейтингование заявок. Состав отборочной комиссии утверждается Организатором Конкурса.</w:t>
      </w:r>
    </w:p>
    <w:p>
      <w:pPr>
        <w:pStyle w:val="22"/>
        <w:numPr>
          <w:ilvl w:val="1"/>
          <w:numId w:val="1"/>
        </w:numPr>
        <w:shd w:val="clear" w:color="auto" w:fill="auto"/>
        <w:tabs>
          <w:tab w:val="clear" w:pos="708"/>
          <w:tab w:val="left" w:pos="1232" w:leader="none"/>
        </w:tabs>
        <w:spacing w:lineRule="exact" w:line="485" w:before="0" w:after="0"/>
        <w:ind w:firstLine="700" w:left="20" w:right="20"/>
        <w:jc w:val="both"/>
        <w:rPr>
          <w:sz w:val="28"/>
          <w:szCs w:val="28"/>
        </w:rPr>
      </w:pPr>
      <w:r>
        <w:rPr>
          <w:sz w:val="28"/>
          <w:szCs w:val="28"/>
        </w:rPr>
        <w:t>Сроки рассмотрения членами отборочной комиссии заявок, предоставленных участниками Конкурса, установлены в п. 5 настоящего Положения.</w:t>
      </w:r>
    </w:p>
    <w:p>
      <w:pPr>
        <w:pStyle w:val="22"/>
        <w:numPr>
          <w:ilvl w:val="1"/>
          <w:numId w:val="1"/>
        </w:numPr>
        <w:shd w:val="clear" w:color="auto" w:fill="auto"/>
        <w:tabs>
          <w:tab w:val="clear" w:pos="708"/>
          <w:tab w:val="left" w:pos="1232" w:leader="none"/>
        </w:tabs>
        <w:spacing w:lineRule="exact" w:line="485" w:before="0" w:after="0"/>
        <w:ind w:firstLine="700" w:left="20" w:right="20"/>
        <w:jc w:val="both"/>
        <w:rPr>
          <w:sz w:val="28"/>
          <w:szCs w:val="28"/>
        </w:rPr>
      </w:pPr>
      <w:r>
        <w:rPr>
          <w:sz w:val="28"/>
          <w:szCs w:val="28"/>
        </w:rPr>
        <w:t>По итогам работы отборочной комиссии на официальной странице Конкурса в срок, установленный в пункте 5 настоящего Положения, публикуется список полуфиналистов Конкурса, чьи работы допускаются до следующего этапа Конкурса.</w:t>
      </w:r>
    </w:p>
    <w:p>
      <w:pPr>
        <w:pStyle w:val="22"/>
        <w:numPr>
          <w:ilvl w:val="1"/>
          <w:numId w:val="1"/>
        </w:numPr>
        <w:shd w:val="clear" w:color="auto" w:fill="auto"/>
        <w:tabs>
          <w:tab w:val="clear" w:pos="708"/>
          <w:tab w:val="left" w:pos="1232" w:leader="none"/>
        </w:tabs>
        <w:spacing w:lineRule="exact" w:line="485" w:before="0" w:after="0"/>
        <w:ind w:firstLine="700" w:left="20" w:right="20"/>
        <w:jc w:val="both"/>
        <w:rPr>
          <w:sz w:val="28"/>
          <w:szCs w:val="28"/>
        </w:rPr>
      </w:pPr>
      <w:r>
        <w:rPr>
          <w:sz w:val="28"/>
          <w:szCs w:val="28"/>
        </w:rPr>
        <w:t>Конкурсные работы полуфиналистов рассматривает экспертное жюри Конкурса (далее – Жюри), оценивая их соответствие целям и тематикам Конкурса. Состав Жюри определяется Организатором Конкурса и размещается на официальном интернет-ресурсе Конкурса не позднее срока окончания приема заявок. Жюри использует следующие критерии оценки с соответствующими пределами значимости. Совокупная значимость всех критериев равна 100 %.</w:t>
      </w:r>
    </w:p>
    <w:tbl>
      <w:tblPr>
        <w:tblW w:w="5000" w:type="pct"/>
        <w:jc w:val="center"/>
        <w:tblInd w:w="0" w:type="dxa"/>
        <w:tblLayout w:type="fixed"/>
        <w:tblCellMar>
          <w:top w:w="0" w:type="dxa"/>
          <w:left w:w="10" w:type="dxa"/>
          <w:bottom w:w="0" w:type="dxa"/>
          <w:right w:w="10" w:type="dxa"/>
        </w:tblCellMar>
        <w:tblLook w:val="04a0" w:noHBand="0" w:noVBand="1" w:firstColumn="1" w:lastRow="0" w:lastColumn="0" w:firstRow="1"/>
      </w:tblPr>
      <w:tblGrid>
        <w:gridCol w:w="655"/>
        <w:gridCol w:w="3794"/>
        <w:gridCol w:w="3828"/>
        <w:gridCol w:w="1927"/>
      </w:tblGrid>
      <w:tr>
        <w:trPr>
          <w:tblHeader w:val="true"/>
          <w:trHeight w:val="20" w:hRule="atLeast"/>
          <w:cantSplit w:val="true"/>
        </w:trPr>
        <w:tc>
          <w:tcPr>
            <w:tcW w:w="655" w:type="dxa"/>
            <w:tcBorders>
              <w:top w:val="single" w:sz="4" w:space="0" w:color="000000"/>
              <w:left w:val="single" w:sz="4" w:space="0" w:color="000000"/>
            </w:tcBorders>
            <w:shd w:color="auto" w:fill="FFFFFF" w:val="clear"/>
          </w:tcPr>
          <w:p>
            <w:pPr>
              <w:pStyle w:val="22"/>
              <w:shd w:val="clear" w:color="auto" w:fill="auto"/>
              <w:spacing w:lineRule="auto" w:line="240" w:before="0" w:after="0"/>
              <w:jc w:val="center"/>
              <w:rPr>
                <w:i/>
                <w:i/>
                <w:iCs/>
                <w:sz w:val="28"/>
                <w:szCs w:val="28"/>
              </w:rPr>
            </w:pPr>
            <w:r>
              <w:rPr>
                <w:i/>
                <w:iCs/>
                <w:sz w:val="28"/>
                <w:szCs w:val="28"/>
              </w:rPr>
              <w:t xml:space="preserve">№ </w:t>
            </w:r>
            <w:r>
              <w:rPr>
                <w:i/>
                <w:iCs/>
                <w:sz w:val="28"/>
                <w:szCs w:val="28"/>
              </w:rPr>
              <w:t>п/п</w:t>
            </w:r>
          </w:p>
        </w:tc>
        <w:tc>
          <w:tcPr>
            <w:tcW w:w="3794" w:type="dxa"/>
            <w:tcBorders>
              <w:top w:val="single" w:sz="4" w:space="0" w:color="000000"/>
              <w:left w:val="single" w:sz="4" w:space="0" w:color="000000"/>
            </w:tcBorders>
            <w:shd w:color="auto" w:fill="FFFFFF" w:themeFill="background1" w:val="clear"/>
          </w:tcPr>
          <w:p>
            <w:pPr>
              <w:pStyle w:val="22"/>
              <w:shd w:val="clear" w:color="auto" w:fill="auto"/>
              <w:spacing w:lineRule="auto" w:line="240" w:before="0" w:after="0"/>
              <w:jc w:val="center"/>
              <w:rPr>
                <w:i/>
                <w:i/>
                <w:iCs/>
                <w:sz w:val="28"/>
                <w:szCs w:val="28"/>
              </w:rPr>
            </w:pPr>
            <w:r>
              <w:rPr>
                <w:i/>
                <w:iCs/>
                <w:sz w:val="28"/>
                <w:szCs w:val="28"/>
              </w:rPr>
              <w:t>Критерий оценки конкурсной работы</w:t>
            </w:r>
          </w:p>
        </w:tc>
        <w:tc>
          <w:tcPr>
            <w:tcW w:w="3828" w:type="dxa"/>
            <w:tcBorders>
              <w:top w:val="single" w:sz="4" w:space="0" w:color="000000"/>
              <w:left w:val="single" w:sz="4" w:space="0" w:color="000000"/>
            </w:tcBorders>
            <w:shd w:color="auto" w:fill="FFFFFF" w:themeFill="background1" w:val="clear"/>
          </w:tcPr>
          <w:p>
            <w:pPr>
              <w:pStyle w:val="22"/>
              <w:shd w:val="clear" w:color="auto" w:fill="auto"/>
              <w:spacing w:lineRule="auto" w:line="240" w:before="0" w:after="0"/>
              <w:jc w:val="center"/>
              <w:rPr>
                <w:i/>
                <w:i/>
                <w:iCs/>
                <w:sz w:val="28"/>
                <w:szCs w:val="28"/>
              </w:rPr>
            </w:pPr>
            <w:r>
              <w:rPr>
                <w:i/>
                <w:iCs/>
                <w:sz w:val="28"/>
                <w:szCs w:val="28"/>
              </w:rPr>
              <w:t>Значения оценки по каждому из критериев</w:t>
            </w:r>
          </w:p>
        </w:tc>
        <w:tc>
          <w:tcPr>
            <w:tcW w:w="1927" w:type="dxa"/>
            <w:tcBorders>
              <w:top w:val="single" w:sz="4" w:space="0" w:color="000000"/>
              <w:left w:val="single" w:sz="4" w:space="0" w:color="000000"/>
              <w:right w:val="single" w:sz="4" w:space="0" w:color="000000"/>
            </w:tcBorders>
            <w:shd w:color="auto" w:fill="FFFFFF" w:themeFill="background1" w:val="clear"/>
          </w:tcPr>
          <w:p>
            <w:pPr>
              <w:pStyle w:val="22"/>
              <w:shd w:val="clear" w:color="auto" w:fill="auto"/>
              <w:spacing w:lineRule="auto" w:line="240" w:before="0" w:after="0"/>
              <w:jc w:val="center"/>
              <w:rPr>
                <w:i/>
                <w:i/>
                <w:iCs/>
                <w:sz w:val="28"/>
                <w:szCs w:val="28"/>
              </w:rPr>
            </w:pPr>
            <w:r>
              <w:rPr>
                <w:i/>
                <w:iCs/>
                <w:sz w:val="28"/>
                <w:szCs w:val="28"/>
              </w:rPr>
              <w:t>Значимость критерия (%)</w:t>
            </w:r>
          </w:p>
        </w:tc>
      </w:tr>
      <w:tr>
        <w:trPr>
          <w:trHeight w:val="20" w:hRule="atLeast"/>
          <w:cantSplit w:val="true"/>
        </w:trPr>
        <w:tc>
          <w:tcPr>
            <w:tcW w:w="655" w:type="dxa"/>
            <w:tcBorders>
              <w:top w:val="single" w:sz="4" w:space="0" w:color="000000"/>
              <w:left w:val="single" w:sz="4" w:space="0" w:color="000000"/>
              <w:bottom w:val="single" w:sz="4" w:space="0" w:color="000000"/>
            </w:tcBorders>
            <w:shd w:color="auto" w:fill="FFFFFF" w:themeFill="background1" w:val="clear"/>
          </w:tcPr>
          <w:p>
            <w:pPr>
              <w:pStyle w:val="22"/>
              <w:shd w:val="clear" w:color="auto" w:fill="auto"/>
              <w:spacing w:lineRule="auto" w:line="240" w:before="0" w:after="0"/>
              <w:jc w:val="center"/>
              <w:rPr>
                <w:sz w:val="28"/>
                <w:szCs w:val="28"/>
              </w:rPr>
            </w:pPr>
            <w:r>
              <w:rPr>
                <w:sz w:val="28"/>
                <w:szCs w:val="28"/>
              </w:rPr>
              <w:t>1</w:t>
            </w:r>
          </w:p>
        </w:tc>
        <w:tc>
          <w:tcPr>
            <w:tcW w:w="3794" w:type="dxa"/>
            <w:tcBorders>
              <w:top w:val="single" w:sz="4" w:space="0" w:color="000000"/>
              <w:left w:val="single" w:sz="4" w:space="0" w:color="000000"/>
              <w:bottom w:val="single" w:sz="4" w:space="0" w:color="000000"/>
            </w:tcBorders>
            <w:shd w:color="auto" w:fill="FFFFFF" w:themeFill="background1" w:val="clear"/>
          </w:tcPr>
          <w:p>
            <w:pPr>
              <w:pStyle w:val="22"/>
              <w:shd w:val="clear" w:color="auto" w:fill="auto"/>
              <w:spacing w:lineRule="auto" w:line="240" w:before="0" w:after="0"/>
              <w:ind w:left="139"/>
              <w:rPr>
                <w:sz w:val="28"/>
                <w:szCs w:val="28"/>
              </w:rPr>
            </w:pPr>
            <w:r>
              <w:rPr>
                <w:sz w:val="28"/>
                <w:szCs w:val="28"/>
              </w:rPr>
              <w:t>Четкость авторской идеи и позиции</w:t>
            </w:r>
          </w:p>
        </w:tc>
        <w:tc>
          <w:tcPr>
            <w:tcW w:w="3828" w:type="dxa"/>
            <w:tcBorders>
              <w:top w:val="single" w:sz="4" w:space="0" w:color="000000"/>
              <w:left w:val="single" w:sz="4" w:space="0" w:color="000000"/>
              <w:bottom w:val="single" w:sz="4" w:space="0" w:color="000000"/>
            </w:tcBorders>
            <w:shd w:color="auto" w:fill="FFFFFF" w:val="clear"/>
          </w:tcPr>
          <w:p>
            <w:pPr>
              <w:pStyle w:val="22"/>
              <w:shd w:val="clear" w:color="auto" w:fill="auto"/>
              <w:spacing w:lineRule="auto" w:line="240" w:before="0" w:after="0"/>
              <w:ind w:left="120"/>
              <w:rPr/>
            </w:pPr>
            <w:r>
              <w:rPr>
                <w:sz w:val="28"/>
                <w:szCs w:val="28"/>
              </w:rPr>
              <w:t xml:space="preserve">От 1 до 10 баллов, где 1 </w:t>
            </w:r>
            <w:r>
              <w:rPr>
                <w:rStyle w:val="11"/>
                <w:rFonts w:eastAsia="Courier New"/>
                <w:sz w:val="28"/>
                <w:szCs w:val="28"/>
              </w:rPr>
              <w:t>–</w:t>
            </w:r>
            <w:r>
              <w:rPr>
                <w:sz w:val="28"/>
                <w:szCs w:val="28"/>
              </w:rPr>
              <w:t xml:space="preserve"> наименьшая выраженность</w:t>
            </w:r>
            <w:r>
              <w:rPr>
                <w:rStyle w:val="11"/>
                <w:sz w:val="28"/>
                <w:szCs w:val="28"/>
              </w:rPr>
              <w:t xml:space="preserve"> </w:t>
            </w:r>
            <w:r>
              <w:rPr>
                <w:sz w:val="28"/>
                <w:szCs w:val="28"/>
              </w:rPr>
              <w:t xml:space="preserve">критерия, а 10 </w:t>
            </w:r>
            <w:r>
              <w:rPr>
                <w:rStyle w:val="11"/>
                <w:rFonts w:eastAsia="Courier New"/>
                <w:sz w:val="28"/>
                <w:szCs w:val="28"/>
              </w:rPr>
              <w:t>–</w:t>
            </w:r>
            <w:r>
              <w:rPr>
                <w:sz w:val="28"/>
                <w:szCs w:val="28"/>
              </w:rPr>
              <w:t xml:space="preserve"> максимальная выраженность критерия</w:t>
            </w:r>
          </w:p>
        </w:tc>
        <w:tc>
          <w:tcPr>
            <w:tcW w:w="1927"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rFonts w:ascii="Times New Roman" w:hAnsi="Times New Roman" w:cs="Times New Roman"/>
                <w:sz w:val="28"/>
                <w:szCs w:val="28"/>
              </w:rPr>
            </w:pPr>
            <w:r>
              <w:rPr>
                <w:rFonts w:cs="Times New Roman" w:ascii="Times New Roman" w:hAnsi="Times New Roman"/>
                <w:sz w:val="28"/>
                <w:szCs w:val="28"/>
              </w:rPr>
              <w:t>25</w:t>
            </w:r>
          </w:p>
        </w:tc>
      </w:tr>
      <w:tr>
        <w:trPr>
          <w:trHeight w:val="20" w:hRule="atLeast"/>
          <w:cantSplit w:val="true"/>
        </w:trPr>
        <w:tc>
          <w:tcPr>
            <w:tcW w:w="655" w:type="dxa"/>
            <w:tcBorders>
              <w:top w:val="single" w:sz="4" w:space="0" w:color="000000"/>
              <w:left w:val="single" w:sz="4" w:space="0" w:color="000000"/>
            </w:tcBorders>
            <w:shd w:color="auto" w:fill="FFFFFF" w:val="clear"/>
          </w:tcPr>
          <w:p>
            <w:pPr>
              <w:pStyle w:val="22"/>
              <w:shd w:val="clear" w:color="auto" w:fill="auto"/>
              <w:spacing w:lineRule="auto" w:line="240" w:before="0" w:after="0"/>
              <w:jc w:val="center"/>
              <w:rPr>
                <w:sz w:val="28"/>
                <w:szCs w:val="28"/>
              </w:rPr>
            </w:pPr>
            <w:r>
              <w:rPr>
                <w:sz w:val="28"/>
                <w:szCs w:val="28"/>
              </w:rPr>
              <w:t>2</w:t>
            </w:r>
          </w:p>
        </w:tc>
        <w:tc>
          <w:tcPr>
            <w:tcW w:w="3794" w:type="dxa"/>
            <w:tcBorders>
              <w:top w:val="single" w:sz="4" w:space="0" w:color="000000"/>
              <w:left w:val="single" w:sz="4" w:space="0" w:color="000000"/>
            </w:tcBorders>
            <w:shd w:color="auto" w:fill="FFFFFF" w:val="clear"/>
          </w:tcPr>
          <w:p>
            <w:pPr>
              <w:pStyle w:val="22"/>
              <w:shd w:val="clear" w:color="auto" w:fill="auto"/>
              <w:spacing w:lineRule="auto" w:line="240" w:before="0" w:after="0"/>
              <w:ind w:left="139"/>
              <w:rPr>
                <w:sz w:val="28"/>
                <w:szCs w:val="28"/>
              </w:rPr>
            </w:pPr>
            <w:r>
              <w:rPr>
                <w:sz w:val="28"/>
                <w:szCs w:val="28"/>
              </w:rPr>
              <w:t>Научные факты и исследования в основе сюжета</w:t>
            </w:r>
          </w:p>
        </w:tc>
        <w:tc>
          <w:tcPr>
            <w:tcW w:w="3828" w:type="dxa"/>
            <w:tcBorders>
              <w:top w:val="single" w:sz="4" w:space="0" w:color="000000"/>
              <w:left w:val="single" w:sz="4" w:space="0" w:color="000000"/>
            </w:tcBorders>
            <w:shd w:color="auto" w:fill="FFFFFF" w:val="clear"/>
          </w:tcPr>
          <w:p>
            <w:pPr>
              <w:pStyle w:val="22"/>
              <w:shd w:val="clear" w:color="auto" w:fill="auto"/>
              <w:spacing w:lineRule="auto" w:line="240" w:before="0" w:after="0"/>
              <w:ind w:left="120"/>
              <w:rPr/>
            </w:pPr>
            <w:r>
              <w:rPr>
                <w:sz w:val="28"/>
                <w:szCs w:val="28"/>
              </w:rPr>
              <w:t xml:space="preserve">От 1 до 10 баллов, где 1 </w:t>
            </w:r>
            <w:r>
              <w:rPr>
                <w:rStyle w:val="11"/>
                <w:rFonts w:eastAsia="Courier New"/>
                <w:sz w:val="28"/>
                <w:szCs w:val="28"/>
              </w:rPr>
              <w:t>–</w:t>
            </w:r>
            <w:r>
              <w:rPr>
                <w:sz w:val="28"/>
                <w:szCs w:val="28"/>
              </w:rPr>
              <w:t xml:space="preserve"> наименьшая выраженность</w:t>
            </w:r>
            <w:r>
              <w:rPr>
                <w:rStyle w:val="11"/>
                <w:sz w:val="28"/>
                <w:szCs w:val="28"/>
              </w:rPr>
              <w:t xml:space="preserve"> </w:t>
            </w:r>
            <w:r>
              <w:rPr>
                <w:sz w:val="28"/>
                <w:szCs w:val="28"/>
              </w:rPr>
              <w:t xml:space="preserve">критерия, а 10 </w:t>
            </w:r>
            <w:r>
              <w:rPr>
                <w:rStyle w:val="11"/>
                <w:rFonts w:eastAsia="Courier New"/>
                <w:sz w:val="28"/>
                <w:szCs w:val="28"/>
              </w:rPr>
              <w:t>–</w:t>
            </w:r>
            <w:r>
              <w:rPr>
                <w:sz w:val="28"/>
                <w:szCs w:val="28"/>
              </w:rPr>
              <w:t xml:space="preserve"> максимальная выраженность критерия</w:t>
            </w:r>
          </w:p>
        </w:tc>
        <w:tc>
          <w:tcPr>
            <w:tcW w:w="1927" w:type="dxa"/>
            <w:tcBorders>
              <w:top w:val="single" w:sz="4" w:space="0" w:color="000000"/>
              <w:left w:val="single" w:sz="4" w:space="0" w:color="000000"/>
              <w:right w:val="single" w:sz="4" w:space="0" w:color="000000"/>
            </w:tcBorders>
            <w:shd w:color="auto" w:fill="FFFFFF" w:val="clear"/>
          </w:tcPr>
          <w:p>
            <w:pPr>
              <w:pStyle w:val="Normal"/>
              <w:jc w:val="center"/>
              <w:rPr>
                <w:rFonts w:ascii="Times New Roman" w:hAnsi="Times New Roman" w:cs="Times New Roman"/>
                <w:sz w:val="28"/>
                <w:szCs w:val="28"/>
              </w:rPr>
            </w:pPr>
            <w:r>
              <w:rPr>
                <w:rFonts w:cs="Times New Roman" w:ascii="Times New Roman" w:hAnsi="Times New Roman"/>
                <w:sz w:val="28"/>
                <w:szCs w:val="28"/>
              </w:rPr>
              <w:t>25</w:t>
            </w:r>
          </w:p>
        </w:tc>
      </w:tr>
      <w:tr>
        <w:trPr>
          <w:trHeight w:val="20" w:hRule="atLeast"/>
          <w:cantSplit w:val="true"/>
        </w:trPr>
        <w:tc>
          <w:tcPr>
            <w:tcW w:w="655" w:type="dxa"/>
            <w:tcBorders>
              <w:top w:val="single" w:sz="4" w:space="0" w:color="000000"/>
              <w:left w:val="single" w:sz="4" w:space="0" w:color="000000"/>
            </w:tcBorders>
            <w:shd w:color="auto" w:fill="FFFFFF" w:val="clear"/>
          </w:tcPr>
          <w:p>
            <w:pPr>
              <w:pStyle w:val="22"/>
              <w:shd w:val="clear" w:color="auto" w:fill="auto"/>
              <w:spacing w:lineRule="auto" w:line="240" w:before="0" w:after="0"/>
              <w:jc w:val="center"/>
              <w:rPr>
                <w:sz w:val="28"/>
                <w:szCs w:val="28"/>
              </w:rPr>
            </w:pPr>
            <w:r>
              <w:rPr>
                <w:sz w:val="28"/>
                <w:szCs w:val="28"/>
              </w:rPr>
              <w:t>3</w:t>
            </w:r>
          </w:p>
        </w:tc>
        <w:tc>
          <w:tcPr>
            <w:tcW w:w="3794" w:type="dxa"/>
            <w:tcBorders>
              <w:top w:val="single" w:sz="4" w:space="0" w:color="000000"/>
              <w:left w:val="single" w:sz="4" w:space="0" w:color="000000"/>
            </w:tcBorders>
            <w:shd w:color="auto" w:fill="FFFFFF" w:val="clear"/>
          </w:tcPr>
          <w:p>
            <w:pPr>
              <w:pStyle w:val="22"/>
              <w:shd w:val="clear" w:color="auto" w:fill="auto"/>
              <w:spacing w:lineRule="auto" w:line="240" w:before="0" w:after="0"/>
              <w:ind w:left="139"/>
              <w:rPr>
                <w:sz w:val="28"/>
                <w:szCs w:val="28"/>
              </w:rPr>
            </w:pPr>
            <w:r>
              <w:rPr>
                <w:sz w:val="28"/>
                <w:szCs w:val="28"/>
              </w:rPr>
              <w:t>Оригинальность, нестандартность, новизна в подаче материала</w:t>
            </w:r>
          </w:p>
        </w:tc>
        <w:tc>
          <w:tcPr>
            <w:tcW w:w="3828" w:type="dxa"/>
            <w:tcBorders>
              <w:top w:val="single" w:sz="4" w:space="0" w:color="000000"/>
              <w:left w:val="single" w:sz="4" w:space="0" w:color="000000"/>
            </w:tcBorders>
            <w:shd w:color="auto" w:fill="FFFFFF" w:val="clear"/>
          </w:tcPr>
          <w:p>
            <w:pPr>
              <w:pStyle w:val="22"/>
              <w:shd w:val="clear" w:color="auto" w:fill="auto"/>
              <w:spacing w:lineRule="auto" w:line="240" w:before="0" w:after="0"/>
              <w:ind w:left="120"/>
              <w:rPr/>
            </w:pPr>
            <w:r>
              <w:rPr>
                <w:sz w:val="28"/>
                <w:szCs w:val="28"/>
              </w:rPr>
              <w:t xml:space="preserve">От 1 до 10 баллов, где 1 </w:t>
            </w:r>
            <w:r>
              <w:rPr>
                <w:rStyle w:val="11"/>
                <w:rFonts w:eastAsia="Courier New"/>
                <w:sz w:val="28"/>
                <w:szCs w:val="28"/>
              </w:rPr>
              <w:t>–</w:t>
            </w:r>
            <w:r>
              <w:rPr>
                <w:sz w:val="28"/>
                <w:szCs w:val="28"/>
              </w:rPr>
              <w:t xml:space="preserve"> наименьшая выраженность критерия, а 10 </w:t>
            </w:r>
            <w:r>
              <w:rPr>
                <w:rStyle w:val="11"/>
                <w:rFonts w:eastAsia="Courier New"/>
                <w:sz w:val="28"/>
                <w:szCs w:val="28"/>
              </w:rPr>
              <w:t xml:space="preserve">– </w:t>
            </w:r>
            <w:r>
              <w:rPr>
                <w:sz w:val="28"/>
                <w:szCs w:val="28"/>
              </w:rPr>
              <w:t>максимальная</w:t>
            </w:r>
            <w:r>
              <w:rPr>
                <w:rStyle w:val="11"/>
                <w:sz w:val="28"/>
                <w:szCs w:val="28"/>
              </w:rPr>
              <w:t xml:space="preserve"> </w:t>
            </w:r>
            <w:r>
              <w:rPr>
                <w:sz w:val="28"/>
                <w:szCs w:val="28"/>
              </w:rPr>
              <w:t>выраженность критерия</w:t>
            </w:r>
          </w:p>
        </w:tc>
        <w:tc>
          <w:tcPr>
            <w:tcW w:w="1927" w:type="dxa"/>
            <w:tcBorders>
              <w:top w:val="single" w:sz="4" w:space="0" w:color="000000"/>
              <w:left w:val="single" w:sz="4" w:space="0" w:color="000000"/>
              <w:right w:val="single" w:sz="4" w:space="0" w:color="000000"/>
            </w:tcBorders>
            <w:shd w:color="auto" w:fill="FFFFFF" w:val="clear"/>
          </w:tcPr>
          <w:p>
            <w:pPr>
              <w:pStyle w:val="Normal"/>
              <w:jc w:val="center"/>
              <w:rPr>
                <w:rFonts w:ascii="Times New Roman" w:hAnsi="Times New Roman" w:cs="Times New Roman"/>
                <w:sz w:val="28"/>
                <w:szCs w:val="28"/>
              </w:rPr>
            </w:pPr>
            <w:r>
              <w:rPr>
                <w:rFonts w:cs="Times New Roman" w:ascii="Times New Roman" w:hAnsi="Times New Roman"/>
                <w:sz w:val="28"/>
                <w:szCs w:val="28"/>
              </w:rPr>
              <w:t>20</w:t>
            </w:r>
          </w:p>
        </w:tc>
      </w:tr>
      <w:tr>
        <w:trPr>
          <w:trHeight w:val="20" w:hRule="atLeast"/>
          <w:cantSplit w:val="true"/>
        </w:trPr>
        <w:tc>
          <w:tcPr>
            <w:tcW w:w="655" w:type="dxa"/>
            <w:tcBorders>
              <w:top w:val="single" w:sz="4" w:space="0" w:color="000000"/>
              <w:left w:val="single" w:sz="4" w:space="0" w:color="000000"/>
            </w:tcBorders>
            <w:shd w:color="auto" w:fill="FFFFFF" w:val="clear"/>
          </w:tcPr>
          <w:p>
            <w:pPr>
              <w:pStyle w:val="22"/>
              <w:shd w:val="clear" w:color="auto" w:fill="auto"/>
              <w:spacing w:lineRule="auto" w:line="240" w:before="0" w:after="0"/>
              <w:jc w:val="center"/>
              <w:rPr>
                <w:sz w:val="28"/>
                <w:szCs w:val="28"/>
              </w:rPr>
            </w:pPr>
            <w:r>
              <w:rPr>
                <w:sz w:val="28"/>
                <w:szCs w:val="28"/>
              </w:rPr>
              <w:t>4</w:t>
            </w:r>
          </w:p>
        </w:tc>
        <w:tc>
          <w:tcPr>
            <w:tcW w:w="3794" w:type="dxa"/>
            <w:tcBorders>
              <w:top w:val="single" w:sz="4" w:space="0" w:color="000000"/>
              <w:left w:val="single" w:sz="4" w:space="0" w:color="000000"/>
            </w:tcBorders>
            <w:shd w:color="auto" w:fill="FFFFFF" w:themeFill="background1" w:val="clear"/>
          </w:tcPr>
          <w:p>
            <w:pPr>
              <w:pStyle w:val="22"/>
              <w:shd w:val="clear" w:color="auto" w:fill="auto"/>
              <w:spacing w:lineRule="auto" w:line="240" w:before="0" w:after="0"/>
              <w:ind w:left="139"/>
              <w:rPr>
                <w:sz w:val="28"/>
                <w:szCs w:val="28"/>
              </w:rPr>
            </w:pPr>
            <w:r>
              <w:rPr>
                <w:sz w:val="28"/>
                <w:szCs w:val="28"/>
              </w:rPr>
              <w:t>Литературно-</w:t>
            </w:r>
          </w:p>
          <w:p>
            <w:pPr>
              <w:pStyle w:val="22"/>
              <w:shd w:val="clear" w:color="auto" w:fill="auto"/>
              <w:spacing w:lineRule="auto" w:line="240" w:before="0" w:after="0"/>
              <w:ind w:left="139"/>
              <w:rPr>
                <w:sz w:val="28"/>
                <w:szCs w:val="28"/>
              </w:rPr>
            </w:pPr>
            <w:r>
              <w:rPr>
                <w:sz w:val="28"/>
                <w:szCs w:val="28"/>
              </w:rPr>
              <w:t>художественные</w:t>
            </w:r>
          </w:p>
          <w:p>
            <w:pPr>
              <w:pStyle w:val="22"/>
              <w:shd w:val="clear" w:color="auto" w:fill="auto"/>
              <w:spacing w:lineRule="auto" w:line="240" w:before="0" w:after="0"/>
              <w:ind w:left="139"/>
              <w:rPr>
                <w:sz w:val="28"/>
                <w:szCs w:val="28"/>
              </w:rPr>
            </w:pPr>
            <w:r>
              <w:rPr>
                <w:sz w:val="28"/>
                <w:szCs w:val="28"/>
              </w:rPr>
              <w:t>достоинства</w:t>
            </w:r>
          </w:p>
        </w:tc>
        <w:tc>
          <w:tcPr>
            <w:tcW w:w="3828" w:type="dxa"/>
            <w:tcBorders>
              <w:top w:val="single" w:sz="4" w:space="0" w:color="000000"/>
              <w:left w:val="single" w:sz="4" w:space="0" w:color="000000"/>
            </w:tcBorders>
            <w:shd w:color="auto" w:fill="FFFFFF" w:val="clear"/>
          </w:tcPr>
          <w:p>
            <w:pPr>
              <w:pStyle w:val="22"/>
              <w:shd w:val="clear" w:color="auto" w:fill="auto"/>
              <w:spacing w:lineRule="auto" w:line="240" w:before="0" w:after="0"/>
              <w:ind w:left="120"/>
              <w:rPr/>
            </w:pPr>
            <w:r>
              <w:rPr>
                <w:sz w:val="28"/>
                <w:szCs w:val="28"/>
              </w:rPr>
              <w:t xml:space="preserve">От 1 до 10 баллов, где 1 </w:t>
            </w:r>
            <w:r>
              <w:rPr>
                <w:rStyle w:val="11"/>
                <w:rFonts w:eastAsia="Courier New"/>
                <w:sz w:val="28"/>
                <w:szCs w:val="28"/>
              </w:rPr>
              <w:t>–</w:t>
            </w:r>
            <w:r>
              <w:rPr>
                <w:sz w:val="28"/>
                <w:szCs w:val="28"/>
              </w:rPr>
              <w:t>наименьшая выраженность</w:t>
            </w:r>
            <w:r>
              <w:rPr>
                <w:rStyle w:val="11"/>
                <w:sz w:val="28"/>
                <w:szCs w:val="28"/>
              </w:rPr>
              <w:t xml:space="preserve"> </w:t>
            </w:r>
            <w:r>
              <w:rPr>
                <w:sz w:val="28"/>
                <w:szCs w:val="28"/>
              </w:rPr>
              <w:t xml:space="preserve">критерия, а 10 </w:t>
            </w:r>
            <w:r>
              <w:rPr>
                <w:rStyle w:val="11"/>
                <w:rFonts w:eastAsia="Courier New"/>
                <w:sz w:val="28"/>
                <w:szCs w:val="28"/>
              </w:rPr>
              <w:t>–</w:t>
            </w:r>
            <w:r>
              <w:rPr>
                <w:sz w:val="28"/>
                <w:szCs w:val="28"/>
              </w:rPr>
              <w:t xml:space="preserve"> максимальная выраженность критерия</w:t>
            </w:r>
          </w:p>
        </w:tc>
        <w:tc>
          <w:tcPr>
            <w:tcW w:w="1927" w:type="dxa"/>
            <w:tcBorders>
              <w:top w:val="single" w:sz="4" w:space="0" w:color="000000"/>
              <w:left w:val="single" w:sz="4" w:space="0" w:color="000000"/>
              <w:right w:val="single" w:sz="4" w:space="0" w:color="000000"/>
            </w:tcBorders>
            <w:shd w:color="auto" w:fill="FFFFFF" w:val="clear"/>
          </w:tcPr>
          <w:p>
            <w:pPr>
              <w:pStyle w:val="Normal"/>
              <w:jc w:val="center"/>
              <w:rPr>
                <w:rFonts w:ascii="Times New Roman" w:hAnsi="Times New Roman" w:cs="Times New Roman"/>
                <w:sz w:val="28"/>
                <w:szCs w:val="28"/>
              </w:rPr>
            </w:pPr>
            <w:r>
              <w:rPr>
                <w:rFonts w:cs="Times New Roman" w:ascii="Times New Roman" w:hAnsi="Times New Roman"/>
                <w:sz w:val="28"/>
                <w:szCs w:val="28"/>
              </w:rPr>
              <w:t>20</w:t>
            </w:r>
          </w:p>
        </w:tc>
      </w:tr>
      <w:tr>
        <w:trPr>
          <w:trHeight w:val="20" w:hRule="atLeast"/>
          <w:cantSplit w:val="true"/>
        </w:trPr>
        <w:tc>
          <w:tcPr>
            <w:tcW w:w="655" w:type="dxa"/>
            <w:tcBorders>
              <w:top w:val="single" w:sz="4" w:space="0" w:color="000000"/>
              <w:left w:val="single" w:sz="4" w:space="0" w:color="000000"/>
              <w:bottom w:val="single" w:sz="4" w:space="0" w:color="000000"/>
            </w:tcBorders>
            <w:shd w:color="auto" w:fill="FFFFFF" w:val="clear"/>
          </w:tcPr>
          <w:p>
            <w:pPr>
              <w:pStyle w:val="22"/>
              <w:shd w:val="clear" w:color="auto" w:fill="auto"/>
              <w:spacing w:lineRule="auto" w:line="240" w:before="0" w:after="0"/>
              <w:jc w:val="center"/>
              <w:rPr>
                <w:sz w:val="28"/>
                <w:szCs w:val="28"/>
              </w:rPr>
            </w:pPr>
            <w:r>
              <w:rPr>
                <w:sz w:val="28"/>
                <w:szCs w:val="28"/>
              </w:rPr>
              <w:t>5</w:t>
            </w:r>
          </w:p>
        </w:tc>
        <w:tc>
          <w:tcPr>
            <w:tcW w:w="3794" w:type="dxa"/>
            <w:tcBorders>
              <w:top w:val="single" w:sz="4" w:space="0" w:color="000000"/>
              <w:left w:val="single" w:sz="4" w:space="0" w:color="000000"/>
              <w:bottom w:val="single" w:sz="4" w:space="0" w:color="000000"/>
            </w:tcBorders>
            <w:shd w:color="auto" w:fill="FFFFFF" w:val="clear"/>
          </w:tcPr>
          <w:p>
            <w:pPr>
              <w:pStyle w:val="22"/>
              <w:shd w:val="clear" w:color="auto" w:fill="auto"/>
              <w:spacing w:lineRule="auto" w:line="240" w:before="0" w:after="0"/>
              <w:ind w:left="139"/>
              <w:rPr>
                <w:sz w:val="28"/>
                <w:szCs w:val="28"/>
              </w:rPr>
            </w:pPr>
            <w:r>
              <w:rPr>
                <w:sz w:val="28"/>
                <w:szCs w:val="28"/>
              </w:rPr>
              <w:t>Глубина эмоционального и эстетического воздействия</w:t>
            </w:r>
          </w:p>
        </w:tc>
        <w:tc>
          <w:tcPr>
            <w:tcW w:w="3828" w:type="dxa"/>
            <w:tcBorders>
              <w:top w:val="single" w:sz="4" w:space="0" w:color="000000"/>
              <w:left w:val="single" w:sz="4" w:space="0" w:color="000000"/>
              <w:bottom w:val="single" w:sz="4" w:space="0" w:color="000000"/>
            </w:tcBorders>
            <w:shd w:color="auto" w:fill="FFFFFF" w:val="clear"/>
          </w:tcPr>
          <w:p>
            <w:pPr>
              <w:pStyle w:val="22"/>
              <w:shd w:val="clear" w:color="auto" w:fill="auto"/>
              <w:spacing w:lineRule="auto" w:line="240" w:before="0" w:after="0"/>
              <w:ind w:left="120"/>
              <w:rPr/>
            </w:pPr>
            <w:r>
              <w:rPr>
                <w:sz w:val="28"/>
                <w:szCs w:val="28"/>
              </w:rPr>
              <w:t xml:space="preserve">От 1 до 10 баллов, где 1 </w:t>
            </w:r>
            <w:r>
              <w:rPr>
                <w:rStyle w:val="11"/>
                <w:rFonts w:eastAsia="Courier New"/>
                <w:sz w:val="28"/>
                <w:szCs w:val="28"/>
              </w:rPr>
              <w:t>–</w:t>
            </w:r>
            <w:r>
              <w:rPr>
                <w:sz w:val="28"/>
                <w:szCs w:val="28"/>
              </w:rPr>
              <w:t xml:space="preserve"> наименьшая выраженность критерия, а 10 </w:t>
            </w:r>
            <w:r>
              <w:rPr>
                <w:rStyle w:val="11"/>
                <w:rFonts w:eastAsia="Courier New"/>
                <w:sz w:val="28"/>
                <w:szCs w:val="28"/>
              </w:rPr>
              <w:t>–</w:t>
            </w:r>
            <w:r>
              <w:rPr>
                <w:sz w:val="28"/>
                <w:szCs w:val="28"/>
              </w:rPr>
              <w:t xml:space="preserve"> максимальная выраженность критерия</w:t>
            </w:r>
          </w:p>
        </w:tc>
        <w:tc>
          <w:tcPr>
            <w:tcW w:w="1927"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rFonts w:ascii="Times New Roman" w:hAnsi="Times New Roman" w:cs="Times New Roman"/>
                <w:sz w:val="28"/>
                <w:szCs w:val="28"/>
              </w:rPr>
            </w:pPr>
            <w:r>
              <w:rPr>
                <w:rFonts w:cs="Times New Roman" w:ascii="Times New Roman" w:hAnsi="Times New Roman"/>
                <w:sz w:val="28"/>
                <w:szCs w:val="28"/>
              </w:rPr>
              <w:t>10</w:t>
            </w:r>
          </w:p>
        </w:tc>
      </w:tr>
    </w:tbl>
    <w:p>
      <w:pPr>
        <w:pStyle w:val="Normal"/>
        <w:rPr>
          <w:rFonts w:ascii="Times New Roman" w:hAnsi="Times New Roman" w:cs="Times New Roman"/>
          <w:sz w:val="28"/>
          <w:szCs w:val="28"/>
          <w:shd w:fill="FFFF00" w:val="clear"/>
        </w:rPr>
      </w:pPr>
      <w:r>
        <w:rPr>
          <w:rFonts w:cs="Times New Roman" w:ascii="Times New Roman" w:hAnsi="Times New Roman"/>
          <w:sz w:val="28"/>
          <w:szCs w:val="28"/>
          <w:shd w:fill="FFFF00" w:val="clear"/>
        </w:rPr>
      </w:r>
    </w:p>
    <w:p>
      <w:pPr>
        <w:pStyle w:val="22"/>
        <w:shd w:val="clear" w:color="auto" w:fill="auto"/>
        <w:spacing w:lineRule="exact" w:line="480" w:before="113" w:after="0"/>
        <w:ind w:firstLine="700" w:left="20" w:right="20"/>
        <w:jc w:val="both"/>
        <w:rPr>
          <w:sz w:val="28"/>
          <w:szCs w:val="28"/>
          <w:shd w:fill="FFFF00" w:val="clear"/>
        </w:rPr>
      </w:pPr>
      <w:r>
        <w:rPr>
          <w:sz w:val="28"/>
          <w:szCs w:val="28"/>
        </w:rPr>
        <w:t>Для оценки конкурсной работы каждым из членов Жюри осуществляется расчет итогового рейтинга по каждой конкурсной работе. Итоговый рейтинг работы рассчитывается путем сложения значений выставленных оценок по каждому критерию оценки работы, умноженных на их значимость.</w:t>
      </w:r>
    </w:p>
    <w:p>
      <w:pPr>
        <w:pStyle w:val="22"/>
        <w:numPr>
          <w:ilvl w:val="1"/>
          <w:numId w:val="1"/>
        </w:numPr>
        <w:shd w:val="clear" w:color="auto" w:fill="auto"/>
        <w:tabs>
          <w:tab w:val="clear" w:pos="708"/>
          <w:tab w:val="left" w:pos="1215" w:leader="none"/>
        </w:tabs>
        <w:spacing w:lineRule="exact" w:line="485" w:before="0" w:after="0"/>
        <w:ind w:firstLine="700" w:left="20" w:right="20"/>
        <w:jc w:val="both"/>
        <w:rPr>
          <w:sz w:val="28"/>
          <w:szCs w:val="28"/>
        </w:rPr>
      </w:pPr>
      <w:r>
        <w:rPr>
          <w:sz w:val="28"/>
          <w:szCs w:val="28"/>
        </w:rPr>
        <w:t>В каждой номинации Конкурса Жюри формирует список финалистов Конкурса в сроки, обозначенные в п. 5 настоящего Положения.</w:t>
      </w:r>
    </w:p>
    <w:p>
      <w:pPr>
        <w:pStyle w:val="22"/>
        <w:numPr>
          <w:ilvl w:val="1"/>
          <w:numId w:val="1"/>
        </w:numPr>
        <w:shd w:val="clear" w:color="auto" w:fill="auto"/>
        <w:tabs>
          <w:tab w:val="clear" w:pos="708"/>
          <w:tab w:val="left" w:pos="1234" w:leader="none"/>
        </w:tabs>
        <w:spacing w:lineRule="exact" w:line="485" w:before="0" w:after="0"/>
        <w:ind w:firstLine="700" w:left="20" w:right="20"/>
        <w:jc w:val="both"/>
        <w:rPr>
          <w:sz w:val="28"/>
          <w:szCs w:val="28"/>
        </w:rPr>
      </w:pPr>
      <w:r>
        <w:rPr>
          <w:sz w:val="28"/>
          <w:szCs w:val="28"/>
        </w:rPr>
        <w:t>Списки финалистов публикуются на официальной странице Конкурса          с указанием фамилии, имени и отчества автора; региона и города проживания автора; названия конкурсной работы (произведения).</w:t>
      </w:r>
    </w:p>
    <w:p>
      <w:pPr>
        <w:pStyle w:val="16"/>
        <w:keepNext w:val="true"/>
        <w:keepLines/>
        <w:numPr>
          <w:ilvl w:val="0"/>
          <w:numId w:val="1"/>
        </w:numPr>
        <w:shd w:val="clear" w:color="auto" w:fill="auto"/>
        <w:tabs>
          <w:tab w:val="clear" w:pos="708"/>
          <w:tab w:val="left" w:pos="1018" w:leader="none"/>
        </w:tabs>
        <w:spacing w:lineRule="exact" w:line="485" w:before="0" w:after="0"/>
        <w:ind w:firstLine="700" w:left="20"/>
        <w:jc w:val="both"/>
        <w:rPr>
          <w:sz w:val="28"/>
          <w:szCs w:val="28"/>
        </w:rPr>
      </w:pPr>
      <w:bookmarkStart w:id="10" w:name="bookmark11"/>
      <w:r>
        <w:rPr>
          <w:sz w:val="28"/>
          <w:szCs w:val="28"/>
        </w:rPr>
        <w:t>Заключительные положения</w:t>
      </w:r>
      <w:bookmarkEnd w:id="10"/>
    </w:p>
    <w:p>
      <w:pPr>
        <w:pStyle w:val="22"/>
        <w:numPr>
          <w:ilvl w:val="1"/>
          <w:numId w:val="1"/>
        </w:numPr>
        <w:shd w:val="clear" w:color="auto" w:fill="auto"/>
        <w:tabs>
          <w:tab w:val="clear" w:pos="708"/>
          <w:tab w:val="left" w:pos="1234" w:leader="none"/>
        </w:tabs>
        <w:spacing w:lineRule="exact" w:line="485" w:before="0" w:after="0"/>
        <w:ind w:firstLine="700" w:left="20" w:right="20"/>
        <w:jc w:val="both"/>
        <w:rPr>
          <w:sz w:val="28"/>
          <w:szCs w:val="28"/>
        </w:rPr>
      </w:pPr>
      <w:r>
        <w:rPr>
          <w:sz w:val="28"/>
          <w:szCs w:val="28"/>
        </w:rPr>
        <w:t>Подача заявки на участие в Конкурсе, в соответствии с настоящим Положением, означает полное и безоговорочное согласие участника с условиями проведения Конкурса.</w:t>
      </w:r>
    </w:p>
    <w:p>
      <w:pPr>
        <w:pStyle w:val="Normal"/>
        <w:widowControl/>
        <w:rPr>
          <w:rFonts w:ascii="Times New Roman" w:hAnsi="Times New Roman" w:eastAsia="Times New Roman" w:cs="Times New Roman"/>
          <w:sz w:val="28"/>
          <w:szCs w:val="28"/>
        </w:rPr>
      </w:pPr>
      <w:r>
        <w:rPr>
          <w:rFonts w:eastAsia="Times New Roman" w:cs="Times New Roman" w:ascii="Times New Roman" w:hAnsi="Times New Roman"/>
          <w:sz w:val="28"/>
          <w:szCs w:val="28"/>
        </w:rPr>
      </w:r>
      <w:r>
        <w:br w:type="page"/>
      </w:r>
    </w:p>
    <w:p>
      <w:pPr>
        <w:pStyle w:val="22"/>
        <w:numPr>
          <w:ilvl w:val="1"/>
          <w:numId w:val="1"/>
        </w:numPr>
        <w:shd w:val="clear" w:color="auto" w:fill="auto"/>
        <w:tabs>
          <w:tab w:val="clear" w:pos="708"/>
          <w:tab w:val="left" w:pos="1234" w:leader="none"/>
        </w:tabs>
        <w:spacing w:lineRule="exact" w:line="485" w:before="0" w:after="0"/>
        <w:ind w:firstLine="700" w:left="20" w:right="20"/>
        <w:jc w:val="both"/>
        <w:rPr>
          <w:sz w:val="28"/>
          <w:szCs w:val="28"/>
        </w:rPr>
      </w:pPr>
      <w:r>
        <w:rPr>
          <w:sz w:val="28"/>
          <w:szCs w:val="28"/>
        </w:rPr>
        <w:t>Участник гарантирует, что информация в его заявке, заполняемой                  при подаче материалов на Конкурс, является достоверной.</w:t>
      </w:r>
    </w:p>
    <w:p>
      <w:pPr>
        <w:pStyle w:val="22"/>
        <w:numPr>
          <w:ilvl w:val="1"/>
          <w:numId w:val="1"/>
        </w:numPr>
        <w:shd w:val="clear" w:color="auto" w:fill="auto"/>
        <w:tabs>
          <w:tab w:val="clear" w:pos="708"/>
          <w:tab w:val="left" w:pos="1234" w:leader="none"/>
        </w:tabs>
        <w:spacing w:lineRule="exact" w:line="485" w:before="0" w:after="0"/>
        <w:ind w:firstLine="700" w:left="20" w:right="20"/>
        <w:jc w:val="both"/>
        <w:rPr>
          <w:sz w:val="28"/>
          <w:szCs w:val="28"/>
        </w:rPr>
      </w:pPr>
      <w:r>
        <w:rPr>
          <w:sz w:val="28"/>
          <w:szCs w:val="28"/>
        </w:rPr>
        <w:t>Все вопросы, не отраженные в настоящем Положении, решаются организаторами исходя из своей компетенции, в рамках сложившейся ситуации                     и в соответствии с действующим законодательством Российской Федерации.</w:t>
      </w:r>
    </w:p>
    <w:p>
      <w:pPr>
        <w:pStyle w:val="22"/>
        <w:numPr>
          <w:ilvl w:val="1"/>
          <w:numId w:val="1"/>
        </w:numPr>
        <w:shd w:val="clear" w:color="auto" w:fill="auto"/>
        <w:tabs>
          <w:tab w:val="clear" w:pos="708"/>
          <w:tab w:val="left" w:pos="1234" w:leader="none"/>
        </w:tabs>
        <w:spacing w:lineRule="exact" w:line="485" w:before="0" w:after="0"/>
        <w:ind w:firstLine="700" w:left="20" w:right="20"/>
        <w:jc w:val="both"/>
        <w:rPr>
          <w:sz w:val="28"/>
          <w:szCs w:val="28"/>
        </w:rPr>
      </w:pPr>
      <w:r>
        <w:rPr>
          <w:sz w:val="28"/>
          <w:szCs w:val="28"/>
        </w:rPr>
        <w:t>Изменения, внесенные в настоящее Положение в случае необходимости, публикуются на сайте НИЯУ МИФИ (на странице Конкурса) и вступают в силу                    с момента публикации. Продолжением участия в Конкурсе участник выражает согласие с внесенными в Положение изменениями.</w:t>
      </w:r>
    </w:p>
    <w:sectPr>
      <w:headerReference w:type="even" r:id="rId4"/>
      <w:headerReference w:type="default" r:id="rId5"/>
      <w:footerReference w:type="even" r:id="rId6"/>
      <w:footerReference w:type="default" r:id="rId7"/>
      <w:type w:val="nextPage"/>
      <w:pgSz w:w="11906" w:h="16838"/>
      <w:pgMar w:left="1134" w:right="567" w:gutter="0" w:header="680" w:top="1134" w:footer="68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ourier New">
    <w:charset w:val="01"/>
    <w:family w:val="roman"/>
    <w:pitch w:val="default"/>
  </w:font>
  <w:font w:name="Times New Roman">
    <w:charset w:val="01"/>
    <w:family w:val="roman"/>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88764702"/>
    </w:sdtPr>
    <w:sdtContent>
      <w:p>
        <w:pPr>
          <w:pStyle w:val="Footer"/>
          <w:jc w:val="right"/>
          <w:rPr>
            <w:rFonts w:ascii="Times New Roman" w:hAnsi="Times New Roman" w:cs="Times New Roman"/>
            <w:sz w:val="20"/>
            <w:szCs w:val="20"/>
          </w:rPr>
        </w:pPr>
        <w:r>
          <w:rPr>
            <w:rFonts w:cs="Times New Roman" w:ascii="Times New Roman" w:hAnsi="Times New Roman"/>
            <w:sz w:val="20"/>
            <w:szCs w:val="20"/>
          </w:rPr>
          <w:fldChar w:fldCharType="begin"/>
        </w:r>
        <w:r>
          <w:rPr>
            <w:sz w:val="20"/>
            <w:szCs w:val="20"/>
            <w:rFonts w:cs="Times New Roman" w:ascii="Times New Roman" w:hAnsi="Times New Roman"/>
          </w:rPr>
          <w:instrText xml:space="preserve"> PAGE </w:instrText>
        </w:r>
        <w:r>
          <w:rPr>
            <w:sz w:val="20"/>
            <w:szCs w:val="20"/>
            <w:rFonts w:cs="Times New Roman" w:ascii="Times New Roman" w:hAnsi="Times New Roman"/>
          </w:rPr>
          <w:fldChar w:fldCharType="separate"/>
        </w:r>
        <w:r>
          <w:rPr>
            <w:sz w:val="20"/>
            <w:szCs w:val="20"/>
            <w:rFonts w:cs="Times New Roman" w:ascii="Times New Roman" w:hAnsi="Times New Roman"/>
          </w:rPr>
          <w:t>8</w:t>
        </w:r>
        <w:r>
          <w:rPr>
            <w:sz w:val="20"/>
            <w:szCs w:val="20"/>
            <w:rFonts w:cs="Times New Roman" w:ascii="Times New Roman" w:hAnsi="Times New Roman"/>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99012513"/>
    </w:sdtPr>
    <w:sdtContent>
      <w:p>
        <w:pPr>
          <w:pStyle w:val="Footer"/>
          <w:jc w:val="right"/>
          <w:rPr>
            <w:rFonts w:ascii="Times New Roman" w:hAnsi="Times New Roman" w:cs="Times New Roman"/>
            <w:color w:val="auto"/>
            <w:sz w:val="28"/>
            <w:szCs w:val="28"/>
          </w:rPr>
        </w:pPr>
        <w:r>
          <w:rPr>
            <w:rFonts w:cs="Times New Roman" w:ascii="Times New Roman" w:hAnsi="Times New Roman"/>
            <w:color w:val="auto"/>
            <w:sz w:val="28"/>
            <w:szCs w:val="28"/>
          </w:rPr>
          <w:fldChar w:fldCharType="begin"/>
        </w:r>
        <w:r>
          <w:rPr>
            <w:sz w:val="28"/>
            <w:szCs w:val="28"/>
            <w:rFonts w:cs="Times New Roman" w:ascii="Times New Roman" w:hAnsi="Times New Roman"/>
            <w:color w:val="auto"/>
          </w:rPr>
          <w:instrText xml:space="preserve"> PAGE </w:instrText>
        </w:r>
        <w:r>
          <w:rPr>
            <w:sz w:val="28"/>
            <w:szCs w:val="28"/>
            <w:rFonts w:cs="Times New Roman" w:ascii="Times New Roman" w:hAnsi="Times New Roman"/>
            <w:color w:val="auto"/>
          </w:rPr>
          <w:fldChar w:fldCharType="separate"/>
        </w:r>
        <w:r>
          <w:rPr>
            <w:sz w:val="28"/>
            <w:szCs w:val="28"/>
            <w:rFonts w:cs="Times New Roman" w:ascii="Times New Roman" w:hAnsi="Times New Roman"/>
            <w:color w:val="auto"/>
          </w:rPr>
          <w:t>7</w:t>
        </w:r>
        <w:r>
          <w:rPr>
            <w:sz w:val="28"/>
            <w:szCs w:val="28"/>
            <w:rFonts w:cs="Times New Roman" w:ascii="Times New Roman" w:hAnsi="Times New Roman"/>
            <w:color w:val="auto"/>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0"/>
        <w:szCs w:val="20"/>
      </w:rPr>
    </w:pPr>
    <w:r>
      <w:rPr>
        <w:rFonts w:cs="Times New Roman" w:ascii="Times New Roman" w:hAnsi="Times New Roman"/>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0"/>
        <w:szCs w:val="20"/>
      </w:rPr>
    </w:pPr>
    <w:r>
      <w:rPr>
        <w:rFonts w:cs="Times New Roman" w:ascii="Times New Roman" w:hAnsi="Times New Roman"/>
        <w:sz w:val="20"/>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smallCaps w:val="false"/>
        <w:caps w:val="false"/>
        <w:dstrike w:val="false"/>
        <w:strike w:val="false"/>
        <w:sz w:val="27"/>
        <w:spacing w:val="0"/>
        <w:i w:val="false"/>
        <w:u w:val="none"/>
        <w:b/>
        <w:szCs w:val="27"/>
        <w:iCs w:val="false"/>
        <w:bCs/>
        <w:w w:val="100"/>
        <w:color w:val="000000"/>
        <w:lang w:val="ru-RU"/>
      </w:rPr>
    </w:lvl>
    <w:lvl w:ilvl="1">
      <w:start w:val="1"/>
      <w:numFmt w:val="decimal"/>
      <w:lvlText w:val="%1.%2."/>
      <w:lvlJc w:val="left"/>
      <w:pPr>
        <w:tabs>
          <w:tab w:val="num" w:pos="0"/>
        </w:tabs>
        <w:ind w:left="792" w:hanging="432"/>
      </w:pPr>
      <w:rPr>
        <w:smallCaps w:val="false"/>
        <w:caps w:val="false"/>
        <w:dstrike w:val="false"/>
        <w:strike w:val="false"/>
        <w:sz w:val="28"/>
        <w:spacing w:val="0"/>
        <w:i w:val="false"/>
        <w:u w:val="none"/>
        <w:b w:val="false"/>
        <w:szCs w:val="28"/>
        <w:iCs w:val="false"/>
        <w:bCs w:val="false"/>
        <w:w w:val="100"/>
        <w:color w:val="000000"/>
        <w:lang w:val="ru-RU"/>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bullet"/>
      <w:lvlText w:val="-"/>
      <w:lvlJc w:val="left"/>
      <w:pPr>
        <w:tabs>
          <w:tab w:val="num" w:pos="0"/>
        </w:tabs>
        <w:ind w:left="0" w:hanging="0"/>
      </w:pPr>
      <w:rPr>
        <w:rFonts w:ascii="Times New Roman" w:hAnsi="Times New Roman" w:cs="Times New Roman" w:hint="default"/>
        <w:smallCaps w:val="false"/>
        <w:caps w:val="false"/>
        <w:dstrike w:val="false"/>
        <w:strike w:val="false"/>
        <w:sz w:val="26"/>
        <w:spacing w:val="0"/>
        <w:i w:val="false"/>
        <w:u w:val="none"/>
        <w:b w:val="false"/>
        <w:szCs w:val="26"/>
        <w:iCs w:val="false"/>
        <w:bCs w:val="false"/>
        <w:w w:val="100"/>
        <w:color w:val="000000"/>
        <w:lang w:val="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evenAndOddHeaders/>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ourier New" w:hAnsi="Courier New" w:eastAsia="Courier New" w:cs="Courier New"/>
        <w:sz w:val="24"/>
        <w:szCs w:val="24"/>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spacing w:before="0" w:after="0"/>
      <w:jc w:val="left"/>
    </w:pPr>
    <w:rPr>
      <w:rFonts w:ascii="Courier New" w:hAnsi="Courier New" w:eastAsia="Courier New" w:cs="Courier New"/>
      <w:color w:val="000000"/>
      <w:kern w:val="0"/>
      <w:sz w:val="24"/>
      <w:szCs w:val="24"/>
      <w:lang w:val="ru-RU" w:eastAsia="ru-RU" w:bidi="ar-SA"/>
    </w:rPr>
  </w:style>
  <w:style w:type="character" w:styleId="DefaultParagraphFont" w:default="1">
    <w:name w:val="Default Paragraph Font"/>
    <w:uiPriority w:val="1"/>
    <w:semiHidden/>
    <w:unhideWhenUsed/>
    <w:qFormat/>
    <w:rPr/>
  </w:style>
  <w:style w:type="character" w:styleId="Hyperlink">
    <w:name w:val="Hyperlink"/>
    <w:basedOn w:val="DefaultParagraphFont"/>
    <w:rPr>
      <w:color w:val="0066CC"/>
      <w:u w:val="single"/>
    </w:rPr>
  </w:style>
  <w:style w:type="character" w:styleId="Style14" w:customStyle="1">
    <w:name w:val="Текст сноски Знак"/>
    <w:basedOn w:val="DefaultParagraphFont"/>
    <w:link w:val="14"/>
    <w:qFormat/>
    <w:rPr>
      <w:rFonts w:ascii="Times New Roman" w:hAnsi="Times New Roman" w:eastAsia="Times New Roman" w:cs="Times New Roman"/>
      <w:b w:val="false"/>
      <w:bCs w:val="false"/>
      <w:i w:val="false"/>
      <w:iCs w:val="false"/>
      <w:caps w:val="false"/>
      <w:smallCaps w:val="false"/>
      <w:strike w:val="false"/>
      <w:dstrike w:val="false"/>
      <w:sz w:val="18"/>
      <w:szCs w:val="18"/>
      <w:u w:val="none"/>
    </w:rPr>
  </w:style>
  <w:style w:type="character" w:styleId="Style15" w:customStyle="1">
    <w:name w:val="Основной текст_"/>
    <w:basedOn w:val="DefaultParagraphFont"/>
    <w:link w:val="22"/>
    <w:qFormat/>
    <w:rPr>
      <w:rFonts w:ascii="Times New Roman" w:hAnsi="Times New Roman" w:eastAsia="Times New Roman" w:cs="Times New Roman"/>
      <w:b w:val="false"/>
      <w:bCs w:val="false"/>
      <w:i w:val="false"/>
      <w:iCs w:val="false"/>
      <w:caps w:val="false"/>
      <w:smallCaps w:val="false"/>
      <w:strike w:val="false"/>
      <w:dstrike w:val="false"/>
      <w:sz w:val="26"/>
      <w:szCs w:val="26"/>
      <w:u w:val="none"/>
    </w:rPr>
  </w:style>
  <w:style w:type="character" w:styleId="Style16" w:customStyle="1">
    <w:name w:val="Колонтитул_"/>
    <w:basedOn w:val="DefaultParagraphFont"/>
    <w:link w:val="15"/>
    <w:qFormat/>
    <w:rPr>
      <w:rFonts w:ascii="Times New Roman" w:hAnsi="Times New Roman" w:eastAsia="Times New Roman" w:cs="Times New Roman"/>
      <w:b w:val="false"/>
      <w:bCs w:val="false"/>
      <w:i w:val="false"/>
      <w:iCs w:val="false"/>
      <w:caps w:val="false"/>
      <w:smallCaps w:val="false"/>
      <w:strike w:val="false"/>
      <w:dstrike w:val="false"/>
      <w:sz w:val="26"/>
      <w:szCs w:val="26"/>
      <w:u w:val="none"/>
    </w:rPr>
  </w:style>
  <w:style w:type="character" w:styleId="Style17" w:customStyle="1">
    <w:name w:val="Колонтитул"/>
    <w:basedOn w:val="Style16"/>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6"/>
      <w:szCs w:val="26"/>
      <w:u w:val="none"/>
      <w:lang w:val="ru-RU"/>
    </w:rPr>
  </w:style>
  <w:style w:type="character" w:styleId="2" w:customStyle="1">
    <w:name w:val="Основной текст (2)_"/>
    <w:basedOn w:val="DefaultParagraphFont"/>
    <w:link w:val="211"/>
    <w:qFormat/>
    <w:rPr>
      <w:rFonts w:ascii="Times New Roman" w:hAnsi="Times New Roman" w:eastAsia="Times New Roman" w:cs="Times New Roman"/>
      <w:b w:val="false"/>
      <w:bCs w:val="false"/>
      <w:i/>
      <w:iCs/>
      <w:caps w:val="false"/>
      <w:smallCaps w:val="false"/>
      <w:strike w:val="false"/>
      <w:dstrike w:val="false"/>
      <w:spacing w:val="-20"/>
      <w:sz w:val="26"/>
      <w:szCs w:val="26"/>
      <w:u w:val="none"/>
    </w:rPr>
  </w:style>
  <w:style w:type="character" w:styleId="20pt" w:customStyle="1">
    <w:name w:val="Основной текст (2) + Не курсив;Интервал 0 pt"/>
    <w:basedOn w:val="2"/>
    <w:qFormat/>
    <w:rPr>
      <w:rFonts w:ascii="Times New Roman" w:hAnsi="Times New Roman" w:eastAsia="Times New Roman" w:cs="Times New Roman"/>
      <w:b w:val="false"/>
      <w:bCs w:val="false"/>
      <w:i/>
      <w:iCs/>
      <w:caps w:val="false"/>
      <w:smallCaps w:val="false"/>
      <w:strike w:val="false"/>
      <w:dstrike w:val="false"/>
      <w:color w:val="000000"/>
      <w:spacing w:val="-10"/>
      <w:w w:val="100"/>
      <w:sz w:val="26"/>
      <w:szCs w:val="26"/>
      <w:u w:val="none"/>
      <w:lang w:val="ru-RU"/>
    </w:rPr>
  </w:style>
  <w:style w:type="character" w:styleId="216pt" w:customStyle="1">
    <w:name w:val="Основной текст (2) + 16 pt"/>
    <w:basedOn w:val="2"/>
    <w:qFormat/>
    <w:rPr>
      <w:rFonts w:ascii="Times New Roman" w:hAnsi="Times New Roman" w:eastAsia="Times New Roman" w:cs="Times New Roman"/>
      <w:b w:val="false"/>
      <w:bCs w:val="false"/>
      <w:i/>
      <w:iCs/>
      <w:caps w:val="false"/>
      <w:smallCaps w:val="false"/>
      <w:strike w:val="false"/>
      <w:dstrike w:val="false"/>
      <w:color w:val="000000"/>
      <w:spacing w:val="-20"/>
      <w:w w:val="100"/>
      <w:sz w:val="32"/>
      <w:szCs w:val="32"/>
      <w:u w:val="single"/>
      <w:lang w:val="ru-RU"/>
    </w:rPr>
  </w:style>
  <w:style w:type="character" w:styleId="21" w:customStyle="1">
    <w:name w:val="Основной текст (2)"/>
    <w:basedOn w:val="2"/>
    <w:qFormat/>
    <w:rPr>
      <w:rFonts w:ascii="Times New Roman" w:hAnsi="Times New Roman" w:eastAsia="Times New Roman" w:cs="Times New Roman"/>
      <w:b w:val="false"/>
      <w:bCs w:val="false"/>
      <w:i/>
      <w:iCs/>
      <w:caps w:val="false"/>
      <w:smallCaps w:val="false"/>
      <w:strike w:val="false"/>
      <w:dstrike w:val="false"/>
      <w:color w:val="000000"/>
      <w:spacing w:val="-20"/>
      <w:w w:val="100"/>
      <w:sz w:val="26"/>
      <w:szCs w:val="26"/>
      <w:u w:val="single"/>
      <w:lang w:val="en-US"/>
    </w:rPr>
  </w:style>
  <w:style w:type="character" w:styleId="1" w:customStyle="1">
    <w:name w:val="Заголовок №1_"/>
    <w:basedOn w:val="DefaultParagraphFont"/>
    <w:link w:val="16"/>
    <w:qFormat/>
    <w:rPr>
      <w:rFonts w:ascii="Times New Roman" w:hAnsi="Times New Roman" w:eastAsia="Times New Roman" w:cs="Times New Roman"/>
      <w:b/>
      <w:bCs/>
      <w:i w:val="false"/>
      <w:iCs w:val="false"/>
      <w:caps w:val="false"/>
      <w:smallCaps w:val="false"/>
      <w:strike w:val="false"/>
      <w:dstrike w:val="false"/>
      <w:sz w:val="27"/>
      <w:szCs w:val="27"/>
      <w:u w:val="none"/>
    </w:rPr>
  </w:style>
  <w:style w:type="character" w:styleId="Style18" w:customStyle="1">
    <w:name w:val="Подпись к таблице_"/>
    <w:basedOn w:val="DefaultParagraphFont"/>
    <w:link w:val="Style24"/>
    <w:qFormat/>
    <w:rPr>
      <w:rFonts w:ascii="Times New Roman" w:hAnsi="Times New Roman" w:eastAsia="Times New Roman" w:cs="Times New Roman"/>
      <w:b/>
      <w:bCs/>
      <w:i w:val="false"/>
      <w:iCs w:val="false"/>
      <w:caps w:val="false"/>
      <w:smallCaps w:val="false"/>
      <w:strike w:val="false"/>
      <w:dstrike w:val="false"/>
      <w:sz w:val="27"/>
      <w:szCs w:val="27"/>
      <w:u w:val="none"/>
    </w:rPr>
  </w:style>
  <w:style w:type="character" w:styleId="135pt" w:customStyle="1">
    <w:name w:val="Основной текст + 13;5 pt;Полужирный"/>
    <w:basedOn w:val="Style15"/>
    <w:qFormat/>
    <w:rPr>
      <w:rFonts w:ascii="Times New Roman" w:hAnsi="Times New Roman" w:eastAsia="Times New Roman" w:cs="Times New Roman"/>
      <w:b/>
      <w:bCs/>
      <w:i w:val="false"/>
      <w:iCs w:val="false"/>
      <w:caps w:val="false"/>
      <w:smallCaps w:val="false"/>
      <w:strike w:val="false"/>
      <w:dstrike w:val="false"/>
      <w:color w:val="000000"/>
      <w:spacing w:val="0"/>
      <w:w w:val="100"/>
      <w:sz w:val="27"/>
      <w:szCs w:val="27"/>
      <w:u w:val="none"/>
      <w:lang w:val="ru-RU"/>
    </w:rPr>
  </w:style>
  <w:style w:type="character" w:styleId="11" w:customStyle="1">
    <w:name w:val="Основной текст1"/>
    <w:basedOn w:val="Style15"/>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6"/>
      <w:szCs w:val="26"/>
      <w:u w:val="none"/>
      <w:lang w:val="ru-RU"/>
    </w:rPr>
  </w:style>
  <w:style w:type="character" w:styleId="Style19" w:customStyle="1">
    <w:name w:val="Символ сноски"/>
    <w:qFormat/>
    <w:rPr>
      <w:vertAlign w:val="superscript"/>
    </w:rPr>
  </w:style>
  <w:style w:type="character" w:styleId="user" w:customStyle="1">
    <w:name w:val="Символ сноски (user)"/>
    <w:qFormat/>
    <w:rPr>
      <w:vertAlign w:val="superscript"/>
    </w:rPr>
  </w:style>
  <w:style w:type="character" w:styleId="FootnoteReference">
    <w:name w:val="footnote reference"/>
    <w:rPr>
      <w:vertAlign w:val="superscript"/>
    </w:rPr>
  </w:style>
  <w:style w:type="character" w:styleId="user1" w:customStyle="1">
    <w:name w:val="Символ концевой сноски (user)"/>
    <w:qFormat/>
    <w:rPr>
      <w:vertAlign w:val="superscript"/>
    </w:rPr>
  </w:style>
  <w:style w:type="character" w:styleId="Style20" w:customStyle="1">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basedOn w:val="DefaultParagraphFont"/>
    <w:uiPriority w:val="99"/>
    <w:semiHidden/>
    <w:unhideWhenUsed/>
    <w:rsid w:val="00814d09"/>
    <w:rPr>
      <w:color w:themeColor="followedHyperlink" w:val="800080"/>
      <w:u w:val="single"/>
    </w:rPr>
  </w:style>
  <w:style w:type="character" w:styleId="UnresolvedMention" w:customStyle="1">
    <w:name w:val="Unresolved Mention"/>
    <w:basedOn w:val="DefaultParagraphFont"/>
    <w:uiPriority w:val="99"/>
    <w:semiHidden/>
    <w:unhideWhenUsed/>
    <w:qFormat/>
    <w:rsid w:val="00814d09"/>
    <w:rPr>
      <w:color w:val="605E5C"/>
      <w:shd w:fill="E1DFDD" w:val="clear"/>
    </w:rPr>
  </w:style>
  <w:style w:type="character" w:styleId="Style21" w:customStyle="1">
    <w:name w:val="Нижний колонтитул Знак"/>
    <w:basedOn w:val="DefaultParagraphFont"/>
    <w:uiPriority w:val="99"/>
    <w:qFormat/>
    <w:rsid w:val="00082684"/>
    <w:rPr>
      <w:color w:val="000000"/>
    </w:rPr>
  </w:style>
  <w:style w:type="paragraph" w:styleId="Style22">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rPr>
  </w:style>
  <w:style w:type="paragraph" w:styleId="Style23">
    <w:name w:val="Указатель"/>
    <w:basedOn w:val="Normal"/>
    <w:qFormat/>
    <w:pPr>
      <w:suppressLineNumbers/>
    </w:pPr>
    <w:rPr>
      <w:rFonts w:ascii="PT Astra Serif" w:hAnsi="PT Astra Serif" w:cs="Noto Sans Devanagari"/>
    </w:rPr>
  </w:style>
  <w:style w:type="paragraph" w:styleId="user2" w:customStyle="1">
    <w:name w:val="Заголовок (user)"/>
    <w:basedOn w:val="Normal"/>
    <w:next w:val="BodyText"/>
    <w:qFormat/>
    <w:pPr>
      <w:keepNext w:val="true"/>
      <w:spacing w:before="240" w:after="120"/>
    </w:pPr>
    <w:rPr>
      <w:rFonts w:ascii="PT Astra Serif" w:hAnsi="PT Astra Serif" w:eastAsia="Tahoma" w:cs="Noto Sans Devanagari"/>
      <w:sz w:val="28"/>
      <w:szCs w:val="28"/>
    </w:rPr>
  </w:style>
  <w:style w:type="paragraph" w:styleId="user3" w:customStyle="1">
    <w:name w:val="Указатель (user)"/>
    <w:basedOn w:val="Normal"/>
    <w:qFormat/>
    <w:pPr>
      <w:suppressLineNumbers/>
    </w:pPr>
    <w:rPr>
      <w:rFonts w:ascii="PT Astra Serif" w:hAnsi="PT Astra Serif" w:cs="Noto Sans Devanagari"/>
    </w:rPr>
  </w:style>
  <w:style w:type="paragraph" w:styleId="Title">
    <w:name w:val="Title"/>
    <w:basedOn w:val="Normal"/>
    <w:next w:val="BodyText"/>
    <w:qFormat/>
    <w:pPr>
      <w:keepNext w:val="true"/>
      <w:spacing w:before="240" w:after="120"/>
    </w:pPr>
    <w:rPr>
      <w:rFonts w:ascii="PT Astra Serif" w:hAnsi="PT Astra Serif" w:eastAsia="Tahoma" w:cs="Noto Sans Devanagari"/>
      <w:sz w:val="28"/>
      <w:szCs w:val="28"/>
    </w:rPr>
  </w:style>
  <w:style w:type="paragraph" w:styleId="IndexHeading">
    <w:name w:val="index heading"/>
    <w:basedOn w:val="Normal"/>
    <w:qFormat/>
    <w:pPr>
      <w:suppressLineNumbers/>
    </w:pPr>
    <w:rPr>
      <w:rFonts w:ascii="PT Astra Serif" w:hAnsi="PT Astra Serif" w:cs="Noto Sans Devanagari"/>
    </w:rPr>
  </w:style>
  <w:style w:type="paragraph" w:styleId="12" w:customStyle="1">
    <w:name w:val="Заголовок1"/>
    <w:basedOn w:val="Normal"/>
    <w:next w:val="BodyText"/>
    <w:qFormat/>
    <w:pPr>
      <w:keepNext w:val="true"/>
      <w:spacing w:before="240" w:after="120"/>
    </w:pPr>
    <w:rPr>
      <w:rFonts w:ascii="PT Astra Serif" w:hAnsi="PT Astra Serif" w:eastAsia="Tahoma" w:cs="Noto Sans Devanagari"/>
      <w:sz w:val="28"/>
      <w:szCs w:val="28"/>
    </w:rPr>
  </w:style>
  <w:style w:type="paragraph" w:styleId="13" w:customStyle="1">
    <w:name w:val="Указатель1"/>
    <w:basedOn w:val="Normal"/>
    <w:qFormat/>
    <w:pPr>
      <w:suppressLineNumbers/>
    </w:pPr>
    <w:rPr>
      <w:rFonts w:ascii="PT Astra Serif" w:hAnsi="PT Astra Serif" w:cs="Noto Sans Devanagari"/>
    </w:rPr>
  </w:style>
  <w:style w:type="paragraph" w:styleId="14" w:customStyle="1">
    <w:name w:val="Текст сноски1"/>
    <w:basedOn w:val="Normal"/>
    <w:link w:val="Style14"/>
    <w:qFormat/>
    <w:pPr/>
    <w:rPr/>
  </w:style>
  <w:style w:type="paragraph" w:styleId="22" w:customStyle="1">
    <w:name w:val="Основной текст2"/>
    <w:basedOn w:val="Normal"/>
    <w:link w:val="Style15"/>
    <w:qFormat/>
    <w:pPr>
      <w:shd w:val="clear" w:color="auto" w:fill="FFFFFF"/>
      <w:spacing w:lineRule="exact" w:line="322" w:before="0" w:after="180"/>
    </w:pPr>
    <w:rPr>
      <w:rFonts w:ascii="Times New Roman" w:hAnsi="Times New Roman" w:eastAsia="Times New Roman" w:cs="Times New Roman"/>
      <w:sz w:val="26"/>
      <w:szCs w:val="26"/>
    </w:rPr>
  </w:style>
  <w:style w:type="paragraph" w:styleId="15" w:customStyle="1">
    <w:name w:val="Колонтитул1"/>
    <w:basedOn w:val="Normal"/>
    <w:link w:val="Style16"/>
    <w:qFormat/>
    <w:pPr>
      <w:shd w:val="clear" w:color="auto" w:fill="FFFFFF"/>
      <w:spacing w:lineRule="atLeast" w:line="0"/>
    </w:pPr>
    <w:rPr>
      <w:rFonts w:ascii="Times New Roman" w:hAnsi="Times New Roman" w:eastAsia="Times New Roman" w:cs="Times New Roman"/>
      <w:sz w:val="26"/>
      <w:szCs w:val="26"/>
    </w:rPr>
  </w:style>
  <w:style w:type="paragraph" w:styleId="211" w:customStyle="1">
    <w:name w:val="Основной текст (2)1"/>
    <w:basedOn w:val="Normal"/>
    <w:link w:val="2"/>
    <w:qFormat/>
    <w:pPr>
      <w:shd w:val="clear" w:color="auto" w:fill="FFFFFF"/>
      <w:spacing w:lineRule="atLeast" w:line="0" w:before="180" w:after="840"/>
    </w:pPr>
    <w:rPr>
      <w:rFonts w:ascii="Times New Roman" w:hAnsi="Times New Roman" w:eastAsia="Times New Roman" w:cs="Times New Roman"/>
      <w:i/>
      <w:iCs/>
      <w:spacing w:val="-20"/>
      <w:sz w:val="26"/>
      <w:szCs w:val="26"/>
    </w:rPr>
  </w:style>
  <w:style w:type="paragraph" w:styleId="16" w:customStyle="1">
    <w:name w:val="Заголовок №1"/>
    <w:basedOn w:val="Normal"/>
    <w:link w:val="1"/>
    <w:qFormat/>
    <w:pPr>
      <w:shd w:val="clear" w:color="auto" w:fill="FFFFFF"/>
      <w:spacing w:lineRule="exact" w:line="326" w:before="840" w:after="420"/>
      <w:jc w:val="center"/>
      <w:outlineLvl w:val="0"/>
    </w:pPr>
    <w:rPr>
      <w:rFonts w:ascii="Times New Roman" w:hAnsi="Times New Roman" w:eastAsia="Times New Roman" w:cs="Times New Roman"/>
      <w:b/>
      <w:bCs/>
      <w:sz w:val="27"/>
      <w:szCs w:val="27"/>
    </w:rPr>
  </w:style>
  <w:style w:type="paragraph" w:styleId="Style24" w:customStyle="1">
    <w:name w:val="Подпись к таблице"/>
    <w:basedOn w:val="Normal"/>
    <w:link w:val="Style18"/>
    <w:qFormat/>
    <w:pPr>
      <w:shd w:val="clear" w:color="auto" w:fill="FFFFFF"/>
      <w:spacing w:lineRule="atLeast" w:line="0"/>
    </w:pPr>
    <w:rPr>
      <w:rFonts w:ascii="Times New Roman" w:hAnsi="Times New Roman" w:eastAsia="Times New Roman" w:cs="Times New Roman"/>
      <w:b/>
      <w:bCs/>
      <w:sz w:val="27"/>
      <w:szCs w:val="27"/>
    </w:rPr>
  </w:style>
  <w:style w:type="paragraph" w:styleId="HeaderandFooter" w:customStyle="1">
    <w:name w:val="Header and Footer"/>
    <w:basedOn w:val="Normal"/>
    <w:qFormat/>
    <w:pPr/>
    <w:rPr/>
  </w:style>
  <w:style w:type="paragraph" w:styleId="Header">
    <w:name w:val="header"/>
    <w:basedOn w:val="HeaderandFooter"/>
    <w:pPr/>
    <w:rPr/>
  </w:style>
  <w:style w:type="paragraph" w:styleId="Style25" w:customStyle="1">
    <w:name w:val="Содержимое врезки"/>
    <w:basedOn w:val="Normal"/>
    <w:qFormat/>
    <w:pPr/>
    <w:rPr/>
  </w:style>
  <w:style w:type="paragraph" w:styleId="ListParagraph">
    <w:name w:val="List Paragraph"/>
    <w:basedOn w:val="Normal"/>
    <w:uiPriority w:val="34"/>
    <w:qFormat/>
    <w:rsid w:val="00f27f36"/>
    <w:pPr>
      <w:spacing w:before="0" w:after="0"/>
      <w:ind w:left="720"/>
      <w:contextualSpacing/>
    </w:pPr>
    <w:rPr/>
  </w:style>
  <w:style w:type="paragraph" w:styleId="Revision">
    <w:name w:val="Revision"/>
    <w:uiPriority w:val="99"/>
    <w:semiHidden/>
    <w:qFormat/>
    <w:rsid w:val="00270c7d"/>
    <w:pPr>
      <w:widowControl/>
      <w:suppressAutoHyphens w:val="false"/>
      <w:bidi w:val="0"/>
      <w:spacing w:before="0" w:after="0"/>
      <w:jc w:val="left"/>
    </w:pPr>
    <w:rPr>
      <w:rFonts w:ascii="Courier New" w:hAnsi="Courier New" w:eastAsia="Courier New" w:cs="Courier New"/>
      <w:color w:val="000000"/>
      <w:kern w:val="0"/>
      <w:sz w:val="24"/>
      <w:szCs w:val="24"/>
      <w:lang w:val="ru-RU" w:eastAsia="ru-RU" w:bidi="ar-SA"/>
    </w:rPr>
  </w:style>
  <w:style w:type="paragraph" w:styleId="user4" w:customStyle="1">
    <w:name w:val="Содержимое врезки (user)"/>
    <w:basedOn w:val="Normal"/>
    <w:qFormat/>
    <w:pPr/>
    <w:rPr/>
  </w:style>
  <w:style w:type="paragraph" w:styleId="Footer">
    <w:name w:val="footer"/>
    <w:basedOn w:val="Normal"/>
    <w:link w:val="Style21"/>
    <w:uiPriority w:val="99"/>
    <w:unhideWhenUsed/>
    <w:rsid w:val="00082684"/>
    <w:pPr>
      <w:tabs>
        <w:tab w:val="clear" w:pos="708"/>
        <w:tab w:val="center" w:pos="4677" w:leader="none"/>
        <w:tab w:val="right" w:pos="9355" w:leader="none"/>
      </w:tabs>
    </w:pPr>
    <w:rPr/>
  </w:style>
  <w:style w:type="numbering" w:styleId="user5" w:customStyle="1">
    <w:name w:val="Без списка (user)"/>
    <w:uiPriority w:val="99"/>
    <w:semiHidden/>
    <w:unhideWhenUsed/>
    <w:qFormat/>
  </w:style>
  <w:style w:type="numbering" w:styleId="Style26"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SSimova@mephi.ru" TargetMode="External"/><Relationship Id="rId3" Type="http://schemas.openxmlformats.org/officeDocument/2006/relationships/hyperlink" Target="https://it.mephi.ru/webform/3159"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FCAD4-5EF8-4C41-B33C-31DB1FF31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LibreOffice/25.2.3.2$Linux_X86_64 LibreOffice_project/520$Build-2</Application>
  <AppVersion>15.0000</AppVersion>
  <Pages>8</Pages>
  <Words>1567</Words>
  <Characters>10897</Characters>
  <CharactersWithSpaces>12858</CharactersWithSpaces>
  <Paragraphs>114</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2026-10-13T10:30:00Z</dcterms:created>
  <dc:creator>Олег</dc:creator>
  <dc:description/>
  <dc:language>ru-RU</dc:language>
  <cp:lastModifiedBy/>
  <cp:lastPrinted>2026-04-09T09:42:00Z</cp:lastPrinted>
  <dcterms:modified xsi:type="dcterms:W3CDTF">2026-10-23T14:00:23Z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